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7B901B3C" w:rsidR="00067548" w:rsidRPr="000404EF" w:rsidRDefault="00067548" w:rsidP="00C02147">
      <w:pPr>
        <w:pStyle w:val="3GPPHeader"/>
        <w:spacing w:after="60"/>
        <w:rPr>
          <w:lang w:val="en-US"/>
        </w:rPr>
      </w:pPr>
      <w:r w:rsidRPr="000404EF">
        <w:rPr>
          <w:lang w:val="en-US"/>
        </w:rPr>
        <w:t xml:space="preserve">3GPP TSG-RAN WG2 </w:t>
      </w:r>
      <w:r w:rsidR="005745BA">
        <w:rPr>
          <w:lang w:val="en-US"/>
        </w:rPr>
        <w:t>#9</w:t>
      </w:r>
      <w:r w:rsidR="00D42D26">
        <w:rPr>
          <w:lang w:val="en-US"/>
        </w:rPr>
        <w:t>9</w:t>
      </w:r>
      <w:r w:rsidRPr="000404EF">
        <w:rPr>
          <w:lang w:val="en-US"/>
        </w:rPr>
        <w:tab/>
      </w:r>
      <w:r w:rsidRPr="001650CA">
        <w:rPr>
          <w:lang w:val="en-US"/>
        </w:rPr>
        <w:t xml:space="preserve">Tdoc </w:t>
      </w:r>
      <w:r w:rsidR="001650CA">
        <w:t>R2-</w:t>
      </w:r>
      <w:r w:rsidR="00EF1FB7">
        <w:t>1707796</w:t>
      </w:r>
    </w:p>
    <w:p w14:paraId="34D94E32" w14:textId="7A87F5F6" w:rsidR="00067548" w:rsidRPr="00EF1FB7" w:rsidRDefault="00D42D26" w:rsidP="00EF1FB7">
      <w:pPr>
        <w:pStyle w:val="3GPPHeader"/>
      </w:pPr>
      <w:r>
        <w:t>Berlin</w:t>
      </w:r>
      <w:r w:rsidRPr="00631CA0">
        <w:t xml:space="preserve">, </w:t>
      </w:r>
      <w:r>
        <w:t>Germany</w:t>
      </w:r>
      <w:r w:rsidRPr="00631CA0">
        <w:t>, 2</w:t>
      </w:r>
      <w:r>
        <w:t>1</w:t>
      </w:r>
      <w:r w:rsidRPr="0099024F">
        <w:rPr>
          <w:vertAlign w:val="superscript"/>
        </w:rPr>
        <w:t>st</w:t>
      </w:r>
      <w:r>
        <w:t xml:space="preserve"> </w:t>
      </w:r>
      <w:r w:rsidRPr="00631CA0">
        <w:t>– 2</w:t>
      </w:r>
      <w:r>
        <w:t>5</w:t>
      </w:r>
      <w:r w:rsidRPr="00631CA0">
        <w:rPr>
          <w:vertAlign w:val="superscript"/>
        </w:rPr>
        <w:t>th</w:t>
      </w:r>
      <w:r>
        <w:t xml:space="preserve"> August </w:t>
      </w:r>
      <w:r w:rsidRPr="00631CA0">
        <w:t>2017</w:t>
      </w:r>
      <w:r w:rsidR="00EF1FB7">
        <w:tab/>
      </w:r>
      <w:r w:rsidR="000801E5" w:rsidRPr="000801E5">
        <w:rPr>
          <w:b w:val="0"/>
          <w:i/>
          <w:sz w:val="20"/>
        </w:rPr>
        <w:t>(update of R2-170</w:t>
      </w:r>
      <w:r>
        <w:rPr>
          <w:b w:val="0"/>
          <w:i/>
          <w:sz w:val="20"/>
        </w:rPr>
        <w:t>4177</w:t>
      </w:r>
      <w:r w:rsidR="000801E5" w:rsidRPr="000801E5">
        <w:rPr>
          <w:b w:val="0"/>
          <w:i/>
          <w:sz w:val="20"/>
        </w:rPr>
        <w:t>)</w:t>
      </w:r>
    </w:p>
    <w:p w14:paraId="56C12257" w14:textId="77777777" w:rsidR="00E90E49" w:rsidRPr="00CE0424" w:rsidRDefault="00E90E49" w:rsidP="00C02147">
      <w:pPr>
        <w:pStyle w:val="3GPPHeader"/>
      </w:pPr>
    </w:p>
    <w:p w14:paraId="4A4F422A" w14:textId="26B741E1" w:rsidR="00E90E49" w:rsidRPr="008732D9" w:rsidRDefault="00E90E49" w:rsidP="00C02147">
      <w:pPr>
        <w:pStyle w:val="3GPPHeader"/>
        <w:rPr>
          <w:sz w:val="22"/>
          <w:szCs w:val="22"/>
          <w:lang w:val="en-US"/>
        </w:rPr>
      </w:pPr>
      <w:r w:rsidRPr="008732D9">
        <w:rPr>
          <w:sz w:val="22"/>
          <w:szCs w:val="22"/>
          <w:lang w:val="en-US"/>
        </w:rPr>
        <w:t>Agenda Item:</w:t>
      </w:r>
      <w:r w:rsidRPr="008732D9">
        <w:rPr>
          <w:sz w:val="22"/>
          <w:szCs w:val="22"/>
          <w:lang w:val="en-US"/>
        </w:rPr>
        <w:tab/>
      </w:r>
      <w:r w:rsidR="00EF1FB7">
        <w:rPr>
          <w:sz w:val="22"/>
          <w:szCs w:val="22"/>
          <w:lang w:val="en-US"/>
        </w:rPr>
        <w:t>9.7.2</w:t>
      </w:r>
    </w:p>
    <w:p w14:paraId="5DAA27F0" w14:textId="77777777" w:rsidR="00E90E49" w:rsidRPr="00F17BE1" w:rsidRDefault="003D3C45" w:rsidP="00C02147">
      <w:pPr>
        <w:pStyle w:val="3GPPHeader"/>
        <w:rPr>
          <w:sz w:val="22"/>
          <w:szCs w:val="22"/>
        </w:rPr>
      </w:pPr>
      <w:r w:rsidRPr="00F17BE1">
        <w:rPr>
          <w:sz w:val="22"/>
          <w:szCs w:val="22"/>
        </w:rPr>
        <w:t>Source:</w:t>
      </w:r>
      <w:r w:rsidR="00E90E49" w:rsidRPr="00F17BE1">
        <w:rPr>
          <w:sz w:val="22"/>
          <w:szCs w:val="22"/>
        </w:rPr>
        <w:tab/>
      </w:r>
      <w:r w:rsidR="00F64C2B" w:rsidRPr="00F17BE1">
        <w:rPr>
          <w:sz w:val="22"/>
          <w:szCs w:val="22"/>
        </w:rPr>
        <w:t>Ericsson</w:t>
      </w:r>
    </w:p>
    <w:p w14:paraId="63CB047E" w14:textId="084B2779" w:rsidR="00E90E49" w:rsidRPr="00F17BE1" w:rsidRDefault="003D3C45" w:rsidP="00C02147">
      <w:pPr>
        <w:pStyle w:val="3GPPHeader"/>
        <w:rPr>
          <w:sz w:val="22"/>
          <w:szCs w:val="22"/>
        </w:rPr>
      </w:pPr>
      <w:r w:rsidRPr="00F17BE1">
        <w:rPr>
          <w:sz w:val="22"/>
          <w:szCs w:val="22"/>
        </w:rPr>
        <w:t>Title:</w:t>
      </w:r>
      <w:r w:rsidR="00E90E49" w:rsidRPr="00F17BE1">
        <w:rPr>
          <w:sz w:val="22"/>
          <w:szCs w:val="22"/>
        </w:rPr>
        <w:tab/>
      </w:r>
      <w:r w:rsidR="001D4D2D" w:rsidRPr="00F17BE1">
        <w:rPr>
          <w:sz w:val="22"/>
          <w:szCs w:val="22"/>
        </w:rPr>
        <w:t xml:space="preserve">CN selection when accessing </w:t>
      </w:r>
    </w:p>
    <w:p w14:paraId="65935703" w14:textId="3F175618" w:rsidR="00E90E49" w:rsidRPr="000801E5" w:rsidRDefault="00E90E49" w:rsidP="000801E5">
      <w:pPr>
        <w:pStyle w:val="3GPPHeader"/>
        <w:rPr>
          <w:sz w:val="22"/>
          <w:szCs w:val="22"/>
        </w:rPr>
      </w:pPr>
      <w:r w:rsidRPr="00F17BE1">
        <w:rPr>
          <w:sz w:val="22"/>
          <w:szCs w:val="22"/>
        </w:rPr>
        <w:t>Document for:</w:t>
      </w:r>
      <w:r w:rsidRPr="00F17BE1">
        <w:rPr>
          <w:sz w:val="22"/>
          <w:szCs w:val="22"/>
        </w:rPr>
        <w:tab/>
      </w:r>
      <w:r w:rsidR="00941645">
        <w:rPr>
          <w:sz w:val="22"/>
          <w:szCs w:val="22"/>
        </w:rPr>
        <w:t>Discussion, Decision</w:t>
      </w:r>
    </w:p>
    <w:p w14:paraId="607E06CC" w14:textId="77777777" w:rsidR="00E90E49" w:rsidRPr="00CE0424" w:rsidRDefault="00E90E49" w:rsidP="00C02147">
      <w:pPr>
        <w:pStyle w:val="Heading1"/>
        <w:jc w:val="both"/>
      </w:pPr>
      <w:r w:rsidRPr="00CE0424">
        <w:t>Introduction</w:t>
      </w:r>
    </w:p>
    <w:p w14:paraId="3FA4A10C" w14:textId="668B114A" w:rsidR="00B00123" w:rsidRDefault="001D4D2D" w:rsidP="00C02147">
      <w:r>
        <w:t>D</w:t>
      </w:r>
      <w:r w:rsidR="00EF1FB7">
        <w:t>uring RAN2#98</w:t>
      </w:r>
      <w:r w:rsidR="00F17BE1">
        <w:t>,</w:t>
      </w:r>
      <w:r w:rsidR="00A50F2F">
        <w:t xml:space="preserve"> the operation of </w:t>
      </w:r>
      <w:r w:rsidR="0012372A">
        <w:t>LTE</w:t>
      </w:r>
      <w:r w:rsidR="00A50F2F">
        <w:t xml:space="preserve"> with 5G</w:t>
      </w:r>
      <w:r w:rsidR="00BB40A4">
        <w:t>-</w:t>
      </w:r>
      <w:r w:rsidR="006C5EBA">
        <w:t>Core (</w:t>
      </w:r>
      <w:r w:rsidR="00F17BE1">
        <w:t xml:space="preserve">here called </w:t>
      </w:r>
      <w:r w:rsidR="0012372A">
        <w:t>LTE-</w:t>
      </w:r>
      <w:r w:rsidR="006C5EBA">
        <w:t>5G</w:t>
      </w:r>
      <w:r w:rsidR="00A50F2F">
        <w:t>C) was discussed and</w:t>
      </w:r>
      <w:r w:rsidR="00B00123">
        <w:t xml:space="preserve"> it was agreed that:</w:t>
      </w:r>
    </w:p>
    <w:p w14:paraId="29C31E68" w14:textId="77777777" w:rsidR="00B00123" w:rsidRPr="001E7EC3"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3D72357A" w14:textId="1032885C" w:rsidR="00B00123" w:rsidRPr="001E7EC3"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r>
      <w:r w:rsidR="006C5EBA" w:rsidRPr="006C5EBA">
        <w:rPr>
          <w:rFonts w:eastAsia="MS Mincho"/>
          <w:szCs w:val="24"/>
          <w:lang w:eastAsia="en-GB"/>
        </w:rPr>
        <w:t xml:space="preserve">The eNB with connection to NG-Core can also have connection to EPC, and the LTE cell can support both UEs connected </w:t>
      </w:r>
      <w:r w:rsidR="006C5EBA">
        <w:rPr>
          <w:rFonts w:eastAsia="MS Mincho"/>
          <w:szCs w:val="24"/>
          <w:lang w:eastAsia="en-GB"/>
        </w:rPr>
        <w:t xml:space="preserve">to </w:t>
      </w:r>
      <w:r w:rsidR="006C5EBA" w:rsidRPr="006C5EBA">
        <w:rPr>
          <w:rFonts w:eastAsia="MS Mincho"/>
          <w:szCs w:val="24"/>
          <w:lang w:eastAsia="en-GB"/>
        </w:rPr>
        <w:t>EPC and UEs connected to 5G-CN</w:t>
      </w:r>
      <w:r w:rsidR="006C5EBA">
        <w:rPr>
          <w:rFonts w:eastAsia="MS Mincho"/>
          <w:szCs w:val="24"/>
          <w:lang w:eastAsia="en-GB"/>
        </w:rPr>
        <w:t>.</w:t>
      </w:r>
    </w:p>
    <w:p w14:paraId="7236E464" w14:textId="776E125F" w:rsidR="006C5EBA"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pPr>
      <w:r w:rsidRPr="001E7EC3">
        <w:rPr>
          <w:rFonts w:eastAsia="MS Mincho"/>
          <w:szCs w:val="24"/>
          <w:lang w:eastAsia="en-GB"/>
        </w:rPr>
        <w:t>2</w:t>
      </w:r>
      <w:r w:rsidRPr="001E7EC3">
        <w:rPr>
          <w:rFonts w:eastAsia="MS Mincho"/>
          <w:szCs w:val="24"/>
          <w:lang w:eastAsia="en-GB"/>
        </w:rPr>
        <w:tab/>
      </w:r>
      <w:r w:rsidR="006C5EBA">
        <w:t xml:space="preserve">In order to support both </w:t>
      </w:r>
      <w:r w:rsidR="006C5EBA" w:rsidRPr="00A0002F">
        <w:t>UEs connected</w:t>
      </w:r>
      <w:r w:rsidR="00741314">
        <w:t xml:space="preserve"> to</w:t>
      </w:r>
      <w:r w:rsidR="006C5EBA" w:rsidRPr="00A0002F">
        <w:t xml:space="preserve"> EPC </w:t>
      </w:r>
      <w:r w:rsidR="006C5EBA">
        <w:t xml:space="preserve">and </w:t>
      </w:r>
      <w:r w:rsidR="006C5EBA" w:rsidRPr="00A0002F">
        <w:t xml:space="preserve">UEs connected to 5G-CN </w:t>
      </w:r>
      <w:r w:rsidR="006C5EBA">
        <w:t>in an LTE cell simultaneo</w:t>
      </w:r>
      <w:r w:rsidR="00007172">
        <w:t xml:space="preserve">usly, both the LTE NAS specific </w:t>
      </w:r>
      <w:r w:rsidR="006C5EBA">
        <w:t>parameters and NextGen NAS specific parameters should be broadcasted in system information.</w:t>
      </w:r>
    </w:p>
    <w:p w14:paraId="41D50745" w14:textId="339DA90C" w:rsidR="00706C0A" w:rsidRPr="001E7EC3" w:rsidRDefault="006C5EBA" w:rsidP="00706C0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t>3    It should be possible for LTE eNB to identify at latest by message 5 (message containing initial NAS message) whether the UE is connecting to EPC or NG Core.</w:t>
      </w:r>
    </w:p>
    <w:p w14:paraId="1762A689" w14:textId="77777777" w:rsidR="008D5AE8" w:rsidRDefault="008D5AE8" w:rsidP="00C02147">
      <w:pPr>
        <w:pStyle w:val="BodyText"/>
      </w:pPr>
    </w:p>
    <w:p w14:paraId="72DC441B" w14:textId="6504BC59" w:rsidR="001433E3" w:rsidRDefault="001433E3" w:rsidP="00C02147">
      <w:pPr>
        <w:pStyle w:val="BodyText"/>
      </w:pPr>
      <w:r>
        <w:t xml:space="preserve">In this contribution, we discuss how </w:t>
      </w:r>
      <w:r w:rsidR="0012372A">
        <w:t>an LTE eNB that is connected to both EPC and 5GC should broadcast information</w:t>
      </w:r>
      <w:r w:rsidR="000B58CB">
        <w:t xml:space="preserve"> about the core networks</w:t>
      </w:r>
      <w:r w:rsidR="00440253">
        <w:t xml:space="preserve"> (CNs)</w:t>
      </w:r>
      <w:r w:rsidR="00A77A7E">
        <w:t xml:space="preserve"> to</w:t>
      </w:r>
      <w:r w:rsidR="00B904EC">
        <w:t xml:space="preserve"> assist </w:t>
      </w:r>
      <w:r w:rsidR="00A77A7E">
        <w:t>the UEs</w:t>
      </w:r>
      <w:r w:rsidR="00B904EC">
        <w:t xml:space="preserve"> in performing CN selection.</w:t>
      </w:r>
      <w:r w:rsidR="00F17BE1">
        <w:t xml:space="preserve"> We also discuss how the UE should access the network.</w:t>
      </w:r>
    </w:p>
    <w:p w14:paraId="36CEC7B2" w14:textId="46203196" w:rsidR="001643A8" w:rsidRDefault="004000E8" w:rsidP="00C02147">
      <w:pPr>
        <w:pStyle w:val="Heading1"/>
        <w:jc w:val="both"/>
      </w:pPr>
      <w:bookmarkStart w:id="0" w:name="_Ref178064866"/>
      <w:r w:rsidRPr="00CE0424">
        <w:t>Discussion</w:t>
      </w:r>
      <w:bookmarkEnd w:id="0"/>
    </w:p>
    <w:p w14:paraId="42FD83FC" w14:textId="658B87C1" w:rsidR="009A0A51" w:rsidRPr="00F9200E" w:rsidRDefault="00B5443B" w:rsidP="00F9200E">
      <w:pPr>
        <w:pStyle w:val="BodyText"/>
      </w:pPr>
      <w:bookmarkStart w:id="1" w:name="_Toc490060447"/>
      <w:r>
        <w:t>It has been agreed in SA2 that d</w:t>
      </w:r>
      <w:r w:rsidRPr="00B5443B">
        <w:t>eployments based on different 3GPP architecture options (i.e.</w:t>
      </w:r>
      <w:r w:rsidR="00BF130A">
        <w:t>,</w:t>
      </w:r>
      <w:r w:rsidRPr="00B5443B">
        <w:t xml:space="preserve"> EPC</w:t>
      </w:r>
      <w:r w:rsidR="00EB1001">
        <w:t>-b</w:t>
      </w:r>
      <w:r w:rsidRPr="00B5443B">
        <w:t xml:space="preserve">ased </w:t>
      </w:r>
      <w:r w:rsidR="00BF624C">
        <w:t>and</w:t>
      </w:r>
      <w:r w:rsidRPr="00B5443B">
        <w:t xml:space="preserve"> 5GC</w:t>
      </w:r>
      <w:r w:rsidR="00EB1001">
        <w:t>-</w:t>
      </w:r>
      <w:r w:rsidRPr="00B5443B">
        <w:t>based</w:t>
      </w:r>
      <w:r w:rsidR="00EB1001">
        <w:t xml:space="preserve">) </w:t>
      </w:r>
      <w:r w:rsidR="00D4762C" w:rsidRPr="00D4762C">
        <w:t>and UEs w</w:t>
      </w:r>
      <w:r w:rsidR="00D4762C">
        <w:t>ith different capabilities (EPC-</w:t>
      </w:r>
      <w:r w:rsidR="00D4762C" w:rsidRPr="00D4762C">
        <w:t>NAS and 5GC</w:t>
      </w:r>
      <w:r w:rsidR="00D4762C">
        <w:t>-</w:t>
      </w:r>
      <w:r w:rsidR="00D4762C" w:rsidRPr="00D4762C">
        <w:t xml:space="preserve">NAS) </w:t>
      </w:r>
      <w:r w:rsidRPr="00B5443B">
        <w:t>may coexist at the same time within one</w:t>
      </w:r>
      <w:r>
        <w:t xml:space="preserve"> </w:t>
      </w:r>
      <w:r w:rsidRPr="00B5443B">
        <w:t>PLMN</w:t>
      </w:r>
      <w:r w:rsidR="0026285C">
        <w:t xml:space="preserve"> [1]</w:t>
      </w:r>
      <w:r w:rsidRPr="00B5443B">
        <w:t>.</w:t>
      </w:r>
      <w:r>
        <w:t xml:space="preserve"> </w:t>
      </w:r>
      <w:r w:rsidR="00D4762C" w:rsidRPr="00D4762C">
        <w:t>It</w:t>
      </w:r>
      <w:r w:rsidR="00577949">
        <w:t xml:space="preserve"> was also agreed that</w:t>
      </w:r>
      <w:r w:rsidR="00D4762C" w:rsidRPr="00D4762C">
        <w:t xml:space="preserve"> a UE that is capable of supporting 5GC</w:t>
      </w:r>
      <w:r w:rsidR="00D4762C">
        <w:t>-</w:t>
      </w:r>
      <w:r w:rsidR="00D4762C" w:rsidRPr="00D4762C">
        <w:t xml:space="preserve">NAS procedures </w:t>
      </w:r>
      <w:r w:rsidR="00B43030">
        <w:t>should</w:t>
      </w:r>
      <w:r w:rsidR="00D4762C" w:rsidRPr="00D4762C">
        <w:t xml:space="preserve"> also be capable of supporting EPC</w:t>
      </w:r>
      <w:r w:rsidR="00D4762C">
        <w:t>-</w:t>
      </w:r>
      <w:r w:rsidR="00D4762C" w:rsidRPr="00D4762C">
        <w:t xml:space="preserve">NAS </w:t>
      </w:r>
      <w:r w:rsidR="00D4762C">
        <w:t>procedures</w:t>
      </w:r>
      <w:r w:rsidR="00577949">
        <w:t xml:space="preserve"> [1]</w:t>
      </w:r>
      <w:r w:rsidR="00D4762C">
        <w:t xml:space="preserve">. Therefore, we can assume that UEs that are capable only of EPC-NAS must be connected to EPC, while UEs that are capable of 5GC-NAS can be connected either to EPC or 5GC. </w:t>
      </w:r>
      <w:r w:rsidR="00EB1001">
        <w:t>W</w:t>
      </w:r>
      <w:r w:rsidR="00A77A7E">
        <w:t>e can</w:t>
      </w:r>
      <w:r w:rsidR="00AD2BA9">
        <w:t xml:space="preserve"> also</w:t>
      </w:r>
      <w:r w:rsidR="00EB1001">
        <w:t xml:space="preserve"> </w:t>
      </w:r>
      <w:r w:rsidR="00A77A7E">
        <w:t>assume that an LTE eNB can be</w:t>
      </w:r>
      <w:r w:rsidR="00D4762C">
        <w:t>long</w:t>
      </w:r>
      <w:r w:rsidR="00A77A7E">
        <w:t xml:space="preserve"> to multiple PLMN</w:t>
      </w:r>
      <w:r w:rsidR="00EB1001">
        <w:t>s</w:t>
      </w:r>
      <w:r w:rsidR="00A77A7E">
        <w:t xml:space="preserve"> and that for each PLMN </w:t>
      </w:r>
      <w:r w:rsidR="00D4762C">
        <w:t>the LTE eNB</w:t>
      </w:r>
      <w:r w:rsidR="00A77A7E">
        <w:t xml:space="preserve"> can be connected</w:t>
      </w:r>
      <w:r w:rsidR="00EB1001">
        <w:t xml:space="preserve"> to</w:t>
      </w:r>
      <w:r w:rsidR="00A461CF">
        <w:t xml:space="preserve">: (1) EPC only, </w:t>
      </w:r>
      <w:r w:rsidR="00A77A7E">
        <w:t>(</w:t>
      </w:r>
      <w:r w:rsidR="00127422">
        <w:t>2</w:t>
      </w:r>
      <w:r w:rsidR="00A77A7E">
        <w:t>) both EPC and 5GC</w:t>
      </w:r>
      <w:r w:rsidR="00A461CF">
        <w:t xml:space="preserve"> or (3) 5GC only</w:t>
      </w:r>
      <w:r w:rsidR="00A77A7E">
        <w:t>.</w:t>
      </w:r>
      <w:r w:rsidR="00654D90">
        <w:t xml:space="preserve"> </w:t>
      </w:r>
      <w:r w:rsidR="00D4520B">
        <w:t xml:space="preserve">This is </w:t>
      </w:r>
      <w:r w:rsidR="00E92CB2">
        <w:t>because</w:t>
      </w:r>
      <w:r w:rsidR="008732E1">
        <w:t xml:space="preserve"> </w:t>
      </w:r>
      <w:r w:rsidR="00D4520B">
        <w:t xml:space="preserve">different operators can decide </w:t>
      </w:r>
      <w:r w:rsidR="00127422">
        <w:t>to introduce support for 5GC at different times.</w:t>
      </w:r>
      <w:r w:rsidR="00D4520B">
        <w:t xml:space="preserve"> </w:t>
      </w:r>
      <w:r w:rsidR="00D42D26" w:rsidRPr="00F9200E">
        <w:t>Moreo</w:t>
      </w:r>
      <w:r w:rsidR="000B69D5" w:rsidRPr="00F9200E">
        <w:t>ver, the LS response from SA2 [2</w:t>
      </w:r>
      <w:r w:rsidR="00D42D26" w:rsidRPr="00F9200E">
        <w:t>], stated that 5G-CN would be homogenously supported in the same tracking area ID (TAI).</w:t>
      </w:r>
      <w:r w:rsidR="000B69D5" w:rsidRPr="00F9200E">
        <w:t xml:space="preserve"> </w:t>
      </w:r>
      <w:r w:rsidR="00D42D26" w:rsidRPr="00F9200E">
        <w:t>Thus,</w:t>
      </w:r>
      <w:r w:rsidR="00B11DF8" w:rsidRPr="00F9200E">
        <w:t xml:space="preserve"> </w:t>
      </w:r>
      <w:r w:rsidR="00D42D26">
        <w:t>t</w:t>
      </w:r>
      <w:r w:rsidR="00654D90">
        <w:t>he LTE eNB should broadcast the information about which CN</w:t>
      </w:r>
      <w:r w:rsidR="00D4762C">
        <w:t>s</w:t>
      </w:r>
      <w:r w:rsidR="00654D90">
        <w:t xml:space="preserve"> </w:t>
      </w:r>
      <w:r w:rsidR="00D4762C">
        <w:t>are</w:t>
      </w:r>
      <w:r w:rsidR="00654D90">
        <w:t xml:space="preserve"> available</w:t>
      </w:r>
      <w:r w:rsidR="000B69D5">
        <w:t xml:space="preserve"> within</w:t>
      </w:r>
      <w:r w:rsidR="00654D90">
        <w:t xml:space="preserve"> each PLMN to assist the </w:t>
      </w:r>
      <w:r w:rsidR="00AD2BA9">
        <w:t xml:space="preserve">different </w:t>
      </w:r>
      <w:r w:rsidR="00654D90">
        <w:t>UEs in performing CN selection.</w:t>
      </w:r>
      <w:bookmarkEnd w:id="1"/>
    </w:p>
    <w:p w14:paraId="4DD5C28A" w14:textId="277EC3BF" w:rsidR="00D4762C" w:rsidRPr="000801E5" w:rsidRDefault="00D4762C" w:rsidP="00EA24FD">
      <w:pPr>
        <w:pStyle w:val="Proposal"/>
        <w:tabs>
          <w:tab w:val="clear" w:pos="1304"/>
          <w:tab w:val="num" w:pos="1701"/>
        </w:tabs>
        <w:ind w:left="1701" w:hanging="1701"/>
        <w:rPr>
          <w:rFonts w:asciiTheme="minorHAnsi" w:eastAsiaTheme="minorEastAsia" w:hAnsiTheme="minorHAnsi" w:cstheme="minorBidi"/>
          <w:sz w:val="22"/>
          <w:lang w:eastAsia="en-US"/>
        </w:rPr>
      </w:pPr>
      <w:bookmarkStart w:id="2" w:name="_Toc490142290"/>
      <w:bookmarkStart w:id="3" w:name="_Toc490224366"/>
      <w:bookmarkStart w:id="4" w:name="_Toc490224382"/>
      <w:bookmarkStart w:id="5" w:name="_Toc490060526"/>
      <w:bookmarkStart w:id="6" w:name="_Toc490060862"/>
      <w:bookmarkStart w:id="7" w:name="_Toc490061037"/>
      <w:bookmarkStart w:id="8" w:name="_Toc490061069"/>
      <w:bookmarkStart w:id="9" w:name="_Toc490061093"/>
      <w:r>
        <w:t xml:space="preserve">An LTE eNB can belong to multiple PLMNs and </w:t>
      </w:r>
      <w:r w:rsidR="0085457E">
        <w:t xml:space="preserve">for </w:t>
      </w:r>
      <w:r w:rsidR="000B69D5">
        <w:t>each</w:t>
      </w:r>
      <w:r w:rsidR="00F9200E">
        <w:t xml:space="preserve"> </w:t>
      </w:r>
      <w:r>
        <w:t>PLMN</w:t>
      </w:r>
      <w:r w:rsidR="00D42D26">
        <w:t xml:space="preserve">, </w:t>
      </w:r>
      <w:r>
        <w:t xml:space="preserve"> it can be connected to: (1) EPC only</w:t>
      </w:r>
      <w:r w:rsidR="00A461CF">
        <w:t xml:space="preserve">, </w:t>
      </w:r>
      <w:r>
        <w:t>(2) both EPC and 5GC</w:t>
      </w:r>
      <w:r w:rsidR="00A461CF">
        <w:t xml:space="preserve"> or (3) 5GC only</w:t>
      </w:r>
      <w:r>
        <w:t>.</w:t>
      </w:r>
      <w:bookmarkEnd w:id="2"/>
      <w:bookmarkEnd w:id="3"/>
      <w:bookmarkEnd w:id="4"/>
      <w:r>
        <w:t xml:space="preserve"> </w:t>
      </w:r>
      <w:bookmarkEnd w:id="5"/>
      <w:bookmarkEnd w:id="6"/>
      <w:bookmarkEnd w:id="7"/>
      <w:bookmarkEnd w:id="8"/>
      <w:bookmarkEnd w:id="9"/>
    </w:p>
    <w:p w14:paraId="0B64ED92" w14:textId="3BBB9FF8" w:rsidR="00F9200E" w:rsidRDefault="00127422" w:rsidP="00F9200E">
      <w:pPr>
        <w:pStyle w:val="BodyText"/>
      </w:pPr>
      <w:bookmarkStart w:id="10" w:name="_Toc490060448"/>
      <w:r>
        <w:t xml:space="preserve">An open question is whether to consider </w:t>
      </w:r>
      <w:r w:rsidR="00E46558">
        <w:t>the</w:t>
      </w:r>
      <w:r>
        <w:t xml:space="preserve"> scenario in which an LTE eNB is only connected to 5GC.</w:t>
      </w:r>
      <w:r w:rsidR="00D42D26">
        <w:t xml:space="preserve"> This scenario was considered valid in LS response from SA2 [</w:t>
      </w:r>
      <w:r w:rsidR="000B69D5">
        <w:t>2</w:t>
      </w:r>
      <w:r w:rsidR="00D42D26">
        <w:t xml:space="preserve">] within the context of long term EUTRAN cell deployments. </w:t>
      </w:r>
      <w:r w:rsidR="009C3A99">
        <w:t xml:space="preserve"> This is because operators may want to discontinue the EPC and move completely to 5GC. Therefore, we believe that it would be beneficial to include the support for this scenario. </w:t>
      </w:r>
      <w:r>
        <w:t>UE</w:t>
      </w:r>
      <w:r w:rsidR="00B270E6">
        <w:t>s</w:t>
      </w:r>
      <w:r>
        <w:t xml:space="preserve"> capable </w:t>
      </w:r>
      <w:r w:rsidR="00B270E6">
        <w:t xml:space="preserve">only </w:t>
      </w:r>
      <w:r>
        <w:t xml:space="preserve">of EPC-NAS </w:t>
      </w:r>
      <w:r w:rsidR="00A73915">
        <w:t>should</w:t>
      </w:r>
      <w:r>
        <w:t xml:space="preserve"> not be </w:t>
      </w:r>
      <w:r w:rsidR="00B3104E">
        <w:t>allowed</w:t>
      </w:r>
      <w:r>
        <w:t xml:space="preserve"> to access </w:t>
      </w:r>
      <w:r w:rsidR="009C3A99">
        <w:t>an</w:t>
      </w:r>
      <w:r>
        <w:t xml:space="preserve"> LTE eNB</w:t>
      </w:r>
      <w:r w:rsidR="009C3A99">
        <w:t xml:space="preserve"> connected to 5GC only</w:t>
      </w:r>
      <w:r w:rsidR="00D42D26">
        <w:t>,</w:t>
      </w:r>
      <w:r>
        <w:t xml:space="preserve"> at any time. </w:t>
      </w:r>
      <w:r w:rsidR="00B270E6">
        <w:t>For this reason, it may be necessary to bar the LTE eNB for UEs capable only of EPC-NAS</w:t>
      </w:r>
      <w:r w:rsidR="00A73915">
        <w:t xml:space="preserve"> and force the</w:t>
      </w:r>
      <w:r w:rsidR="00B3104E">
        <w:t xml:space="preserve">se UEs </w:t>
      </w:r>
      <w:r w:rsidR="00A73915">
        <w:t>to re-select to a different cell</w:t>
      </w:r>
      <w:bookmarkEnd w:id="10"/>
      <w:r w:rsidR="00777E87">
        <w:t>.</w:t>
      </w:r>
    </w:p>
    <w:p w14:paraId="31050C28" w14:textId="17CE1913" w:rsidR="00F9200E" w:rsidRPr="000801E5" w:rsidRDefault="00F9200E" w:rsidP="00EA24FD">
      <w:pPr>
        <w:pStyle w:val="Proposal"/>
        <w:tabs>
          <w:tab w:val="clear" w:pos="1304"/>
          <w:tab w:val="num" w:pos="1701"/>
        </w:tabs>
        <w:ind w:left="1701" w:hanging="1701"/>
        <w:rPr>
          <w:rFonts w:asciiTheme="minorHAnsi" w:eastAsiaTheme="minorEastAsia" w:hAnsiTheme="minorHAnsi" w:cstheme="minorBidi"/>
          <w:sz w:val="22"/>
          <w:lang w:eastAsia="en-US"/>
        </w:rPr>
      </w:pPr>
      <w:bookmarkStart w:id="11" w:name="_Toc490142291"/>
      <w:bookmarkStart w:id="12" w:name="_Toc490224367"/>
      <w:bookmarkStart w:id="13" w:name="_Toc490224383"/>
      <w:bookmarkStart w:id="14" w:name="_Toc490061070"/>
      <w:bookmarkStart w:id="15" w:name="_Toc490061094"/>
      <w:r>
        <w:t xml:space="preserve">In </w:t>
      </w:r>
      <w:r w:rsidRPr="00F9200E">
        <w:t>case that a PLMN in an LTE eNB is connected to 5GC only, the UEs only capable of EPC-NAS should be barred and should reselect to a different cell.</w:t>
      </w:r>
      <w:bookmarkEnd w:id="11"/>
      <w:bookmarkEnd w:id="12"/>
      <w:bookmarkEnd w:id="13"/>
      <w:r>
        <w:t xml:space="preserve"> </w:t>
      </w:r>
      <w:bookmarkEnd w:id="14"/>
      <w:bookmarkEnd w:id="15"/>
    </w:p>
    <w:p w14:paraId="7112E502" w14:textId="563A7644" w:rsidR="001606A2" w:rsidRDefault="007D7FAD" w:rsidP="00F9200E">
      <w:pPr>
        <w:pStyle w:val="BodyText"/>
      </w:pPr>
      <w:bookmarkStart w:id="16" w:name="_Toc490060864"/>
      <w:bookmarkStart w:id="17" w:name="_Toc490061039"/>
      <w:bookmarkStart w:id="18" w:name="_Toc490061072"/>
      <w:bookmarkStart w:id="19" w:name="_Toc490060865"/>
      <w:bookmarkStart w:id="20" w:name="_Toc490061040"/>
      <w:bookmarkStart w:id="21" w:name="_Toc490061073"/>
      <w:bookmarkStart w:id="22" w:name="_Toc490060450"/>
      <w:bookmarkEnd w:id="16"/>
      <w:bookmarkEnd w:id="17"/>
      <w:bookmarkEnd w:id="18"/>
      <w:bookmarkEnd w:id="19"/>
      <w:bookmarkEnd w:id="20"/>
      <w:bookmarkEnd w:id="21"/>
      <w:r w:rsidRPr="00F9200E">
        <w:lastRenderedPageBreak/>
        <w:t xml:space="preserve">One simple way to </w:t>
      </w:r>
      <w:r>
        <w:t xml:space="preserve">bar </w:t>
      </w:r>
      <w:r w:rsidRPr="00F9200E">
        <w:t xml:space="preserve">EPC-NAS-only </w:t>
      </w:r>
      <w:r>
        <w:t xml:space="preserve">UEs </w:t>
      </w:r>
      <w:r w:rsidRPr="00F9200E">
        <w:t xml:space="preserve">is to use the </w:t>
      </w:r>
      <w:r w:rsidRPr="000B42F7">
        <w:rPr>
          <w:i/>
        </w:rPr>
        <w:t>cellReservedForOperatorUse</w:t>
      </w:r>
      <w:r w:rsidRPr="00451AAC">
        <w:t xml:space="preserve"> </w:t>
      </w:r>
      <w:r w:rsidRPr="00F9200E">
        <w:t xml:space="preserve">flag in SIB1. This flag can be set per PLMN and prevents UEs </w:t>
      </w:r>
      <w:r>
        <w:t xml:space="preserve">other than UEs belonging to </w:t>
      </w:r>
      <w:r w:rsidRPr="00F9200E">
        <w:t>AC 11 or 15 to camp on a cel</w:t>
      </w:r>
      <w:r>
        <w:t xml:space="preserve">l </w:t>
      </w:r>
      <w:r>
        <w:fldChar w:fldCharType="begin"/>
      </w:r>
      <w:r>
        <w:instrText xml:space="preserve"> REF _Ref490058833 \r \h </w:instrText>
      </w:r>
      <w:r>
        <w:fldChar w:fldCharType="separate"/>
      </w:r>
      <w:r w:rsidR="00712604">
        <w:t>[3]</w:t>
      </w:r>
      <w:r>
        <w:fldChar w:fldCharType="end"/>
      </w:r>
      <w:r w:rsidRPr="00F9200E">
        <w:t>.</w:t>
      </w:r>
      <w:r>
        <w:t xml:space="preserve"> </w:t>
      </w:r>
      <w:r w:rsidRPr="00F9200E">
        <w:t xml:space="preserve"> The 5GC-NAS capable UEs would ignore this flag and would </w:t>
      </w:r>
      <w:r>
        <w:t xml:space="preserve">thus </w:t>
      </w:r>
      <w:r w:rsidRPr="00F9200E">
        <w:t xml:space="preserve">still be </w:t>
      </w:r>
      <w:r>
        <w:t xml:space="preserve">able </w:t>
      </w:r>
      <w:r w:rsidRPr="00F9200E">
        <w:t xml:space="preserve">to camp on the cell. In case none of the PLMNs </w:t>
      </w:r>
      <w:r>
        <w:t xml:space="preserve">that the eNB belongs to </w:t>
      </w:r>
      <w:r w:rsidRPr="00F9200E">
        <w:t>support EPC</w:t>
      </w:r>
      <w:r>
        <w:t>,</w:t>
      </w:r>
      <w:r w:rsidRPr="00F9200E">
        <w:t xml:space="preserve"> </w:t>
      </w:r>
      <w:r w:rsidR="001606A2">
        <w:t xml:space="preserve">another possibility </w:t>
      </w:r>
      <w:r w:rsidRPr="00F9200E">
        <w:t xml:space="preserve">is to use the </w:t>
      </w:r>
      <w:r w:rsidRPr="000B42F7">
        <w:rPr>
          <w:i/>
        </w:rPr>
        <w:t>cellBarred</w:t>
      </w:r>
      <w:r w:rsidRPr="00F9200E">
        <w:t xml:space="preserve"> flag in SIB1 to bar the EPC-NAS-only </w:t>
      </w:r>
      <w:r>
        <w:t xml:space="preserve">UEs </w:t>
      </w:r>
      <w:r>
        <w:fldChar w:fldCharType="begin"/>
      </w:r>
      <w:r>
        <w:instrText xml:space="preserve"> REF _Ref490058833 \r \h </w:instrText>
      </w:r>
      <w:r>
        <w:fldChar w:fldCharType="separate"/>
      </w:r>
      <w:r w:rsidR="00712604">
        <w:t>[3]</w:t>
      </w:r>
      <w:r>
        <w:fldChar w:fldCharType="end"/>
      </w:r>
      <w:bookmarkStart w:id="23" w:name="_GoBack"/>
      <w:bookmarkEnd w:id="23"/>
      <w:r w:rsidRPr="00F9200E">
        <w:t>.</w:t>
      </w:r>
      <w:r>
        <w:t xml:space="preserve"> Unlike the </w:t>
      </w:r>
      <w:r w:rsidRPr="000B42F7">
        <w:rPr>
          <w:i/>
        </w:rPr>
        <w:t>cellReservedForOperatorUse</w:t>
      </w:r>
      <w:r>
        <w:rPr>
          <w:i/>
        </w:rPr>
        <w:t xml:space="preserve"> </w:t>
      </w:r>
      <w:r>
        <w:t xml:space="preserve">the </w:t>
      </w:r>
      <w:r w:rsidRPr="000B42F7">
        <w:rPr>
          <w:i/>
        </w:rPr>
        <w:t>cellBarred</w:t>
      </w:r>
      <w:r>
        <w:t xml:space="preserve"> is common for all PLMNs. </w:t>
      </w:r>
      <w:r w:rsidR="001606A2">
        <w:t>Since the 5G-CN-NAS capable UE ignore</w:t>
      </w:r>
      <w:r w:rsidR="00A929CA">
        <w:t>s the old flag</w:t>
      </w:r>
      <w:r w:rsidR="001606A2">
        <w:t xml:space="preserve">, </w:t>
      </w:r>
      <w:r w:rsidR="00A929CA">
        <w:t>a corresponding new flag</w:t>
      </w:r>
      <w:r w:rsidR="001606A2">
        <w:t xml:space="preserve"> would need to be introduced i</w:t>
      </w:r>
      <w:r>
        <w:t xml:space="preserve">n order to be able to bar </w:t>
      </w:r>
      <w:r w:rsidR="001606A2">
        <w:t>those UEs</w:t>
      </w:r>
      <w:r>
        <w:t xml:space="preserve"> (</w:t>
      </w:r>
      <w:r w:rsidR="002A4A5C">
        <w:t>e.g.</w:t>
      </w:r>
      <w:r>
        <w:t xml:space="preserve"> “</w:t>
      </w:r>
      <w:r w:rsidRPr="000B42F7">
        <w:rPr>
          <w:i/>
        </w:rPr>
        <w:t>cellReservedForOperatorUse</w:t>
      </w:r>
      <w:r>
        <w:rPr>
          <w:i/>
        </w:rPr>
        <w:t>-5GC” or “</w:t>
      </w:r>
      <w:r w:rsidRPr="000B42F7">
        <w:rPr>
          <w:i/>
        </w:rPr>
        <w:t>cellBarred</w:t>
      </w:r>
      <w:r>
        <w:rPr>
          <w:i/>
        </w:rPr>
        <w:t>-5GC”</w:t>
      </w:r>
      <w:r>
        <w:t>)</w:t>
      </w:r>
      <w:r w:rsidR="001606A2">
        <w:t>.</w:t>
      </w:r>
    </w:p>
    <w:p w14:paraId="6EC3CEA8" w14:textId="40C45632" w:rsidR="001606A2" w:rsidRDefault="001606A2" w:rsidP="001D6994">
      <w:pPr>
        <w:pStyle w:val="Proposal"/>
        <w:tabs>
          <w:tab w:val="clear" w:pos="1304"/>
          <w:tab w:val="num" w:pos="1701"/>
        </w:tabs>
        <w:ind w:left="1701" w:hanging="1701"/>
      </w:pPr>
      <w:bookmarkStart w:id="24" w:name="_Toc490224368"/>
      <w:bookmarkStart w:id="25" w:name="_Toc490224384"/>
      <w:r>
        <w:t xml:space="preserve">UEs </w:t>
      </w:r>
      <w:r w:rsidR="00702F08">
        <w:t xml:space="preserve">capable only of EPC-NAS </w:t>
      </w:r>
      <w:r w:rsidR="00A929CA">
        <w:t>can be</w:t>
      </w:r>
      <w:r>
        <w:t xml:space="preserve"> barred</w:t>
      </w:r>
      <w:r w:rsidR="00A929CA">
        <w:t xml:space="preserve"> </w:t>
      </w:r>
      <w:r>
        <w:t xml:space="preserve">using the </w:t>
      </w:r>
      <w:r w:rsidRPr="000B42F7">
        <w:rPr>
          <w:i/>
        </w:rPr>
        <w:t>cellReservedForOperatorUse</w:t>
      </w:r>
      <w:r>
        <w:rPr>
          <w:i/>
        </w:rPr>
        <w:t xml:space="preserve"> </w:t>
      </w:r>
      <w:r>
        <w:t xml:space="preserve">or </w:t>
      </w:r>
      <w:r w:rsidRPr="001606A2">
        <w:rPr>
          <w:i/>
        </w:rPr>
        <w:t>cellBarred</w:t>
      </w:r>
      <w:r>
        <w:t xml:space="preserve"> flag in SIB1 which the </w:t>
      </w:r>
      <w:r w:rsidRPr="00F9200E">
        <w:t>5GC-NAS capable UEs</w:t>
      </w:r>
      <w:r>
        <w:t xml:space="preserve"> ignore. </w:t>
      </w:r>
      <w:r w:rsidR="002A4A5C">
        <w:t>To be able to bar the 5GC-NAS capable</w:t>
      </w:r>
      <w:r w:rsidR="00A929CA">
        <w:t xml:space="preserve"> UEs</w:t>
      </w:r>
      <w:r w:rsidR="002A4A5C">
        <w:t xml:space="preserve">, </w:t>
      </w:r>
      <w:r w:rsidR="00A929CA">
        <w:t xml:space="preserve">a </w:t>
      </w:r>
      <w:r w:rsidR="002A4A5C">
        <w:t xml:space="preserve">corresponding new </w:t>
      </w:r>
      <w:r w:rsidR="00A929CA">
        <w:t>flag</w:t>
      </w:r>
      <w:r w:rsidR="002A4A5C">
        <w:t xml:space="preserve"> </w:t>
      </w:r>
      <w:r w:rsidR="00A929CA">
        <w:t>is</w:t>
      </w:r>
      <w:r w:rsidR="002A4A5C">
        <w:t xml:space="preserve"> introduced for </w:t>
      </w:r>
      <w:r w:rsidR="00702F08">
        <w:t>those UEs</w:t>
      </w:r>
      <w:r w:rsidR="002A4A5C">
        <w:t xml:space="preserve"> (e.g. “</w:t>
      </w:r>
      <w:r w:rsidR="002A4A5C" w:rsidRPr="000B42F7">
        <w:rPr>
          <w:i/>
        </w:rPr>
        <w:t>cellReservedForOperatorUse</w:t>
      </w:r>
      <w:r w:rsidR="002A4A5C">
        <w:rPr>
          <w:i/>
        </w:rPr>
        <w:t xml:space="preserve">-5GC” </w:t>
      </w:r>
      <w:r w:rsidR="002A4A5C" w:rsidRPr="00702F08">
        <w:t xml:space="preserve">or </w:t>
      </w:r>
      <w:r w:rsidR="002A4A5C">
        <w:rPr>
          <w:i/>
        </w:rPr>
        <w:t>“</w:t>
      </w:r>
      <w:r w:rsidR="002A4A5C" w:rsidRPr="000B42F7">
        <w:rPr>
          <w:i/>
        </w:rPr>
        <w:t>cellBarred</w:t>
      </w:r>
      <w:r w:rsidR="002A4A5C">
        <w:rPr>
          <w:i/>
        </w:rPr>
        <w:t>-5GC”</w:t>
      </w:r>
      <w:r w:rsidR="002A4A5C">
        <w:t>).</w:t>
      </w:r>
      <w:bookmarkEnd w:id="24"/>
      <w:bookmarkEnd w:id="25"/>
      <w:r w:rsidR="002A4A5C">
        <w:t xml:space="preserve"> </w:t>
      </w:r>
    </w:p>
    <w:p w14:paraId="777514C5" w14:textId="0CF85F65" w:rsidR="00F9200E" w:rsidRPr="00F9200E" w:rsidRDefault="007651A3" w:rsidP="00F9200E">
      <w:pPr>
        <w:pStyle w:val="BodyText"/>
      </w:pPr>
      <w:r w:rsidRPr="00F9200E">
        <w:t>Today, t</w:t>
      </w:r>
      <w:r>
        <w:t xml:space="preserve">he LTE eNB broadcasts the information about the available PLMNs </w:t>
      </w:r>
      <w:r w:rsidR="00D42D26">
        <w:t xml:space="preserve">and </w:t>
      </w:r>
      <w:r w:rsidR="000B69D5">
        <w:t xml:space="preserve">common </w:t>
      </w:r>
      <w:r w:rsidR="00D42D26">
        <w:t xml:space="preserve">tracking area ID </w:t>
      </w:r>
      <w:r w:rsidR="0056299C">
        <w:t>as part of the</w:t>
      </w:r>
      <w:r>
        <w:t xml:space="preserve"> system information. </w:t>
      </w:r>
      <w:r w:rsidR="00D42D26">
        <w:t>Also, as referenced earlier perta</w:t>
      </w:r>
      <w:r w:rsidR="000B69D5">
        <w:t>ining to LS response from SA2 [2</w:t>
      </w:r>
      <w:r w:rsidR="00D42D26">
        <w:t xml:space="preserve">], </w:t>
      </w:r>
      <w:r w:rsidR="00D42D26" w:rsidRPr="000B42F7">
        <w:t>5G-CN would be homogenously supported in the same tracking area ID (TAI)</w:t>
      </w:r>
      <w:r w:rsidR="00D42D26">
        <w:t xml:space="preserve"> </w:t>
      </w:r>
      <w:r>
        <w:t xml:space="preserve">The </w:t>
      </w:r>
      <w:r w:rsidR="0056299C">
        <w:t>system information</w:t>
      </w:r>
      <w:r>
        <w:t xml:space="preserve"> should be extended </w:t>
      </w:r>
      <w:r w:rsidR="00B93111">
        <w:t xml:space="preserve">with new </w:t>
      </w:r>
      <w:r>
        <w:t>information about the available CNs per  PLMN.</w:t>
      </w:r>
      <w:bookmarkEnd w:id="22"/>
      <w:r>
        <w:t xml:space="preserve"> </w:t>
      </w:r>
    </w:p>
    <w:p w14:paraId="175EFC17" w14:textId="03380148" w:rsidR="00DC3807" w:rsidRPr="000B42F7" w:rsidRDefault="00DC3807" w:rsidP="00EA24FD">
      <w:pPr>
        <w:pStyle w:val="Proposal"/>
        <w:tabs>
          <w:tab w:val="clear" w:pos="1304"/>
          <w:tab w:val="num" w:pos="1701"/>
        </w:tabs>
        <w:ind w:left="1701" w:hanging="1701"/>
      </w:pPr>
      <w:bookmarkStart w:id="26" w:name="_Toc490060528"/>
      <w:bookmarkStart w:id="27" w:name="_Toc490060866"/>
      <w:bookmarkStart w:id="28" w:name="_Toc490061041"/>
      <w:bookmarkStart w:id="29" w:name="_Toc490061074"/>
      <w:bookmarkStart w:id="30" w:name="_Toc490061095"/>
      <w:bookmarkStart w:id="31" w:name="_Toc490142292"/>
      <w:bookmarkStart w:id="32" w:name="_Toc490224369"/>
      <w:bookmarkStart w:id="33" w:name="_Toc490224385"/>
      <w:r w:rsidRPr="00F9200E">
        <w:t xml:space="preserve">In LTE, the </w:t>
      </w:r>
      <w:r w:rsidR="0056299C" w:rsidRPr="00F9200E">
        <w:t xml:space="preserve">system </w:t>
      </w:r>
      <w:r w:rsidR="00B93111" w:rsidRPr="00F9200E">
        <w:t>information</w:t>
      </w:r>
      <w:r w:rsidRPr="00F9200E">
        <w:t xml:space="preserve"> should be extended</w:t>
      </w:r>
      <w:r w:rsidR="00DE0BCA" w:rsidRPr="00F9200E">
        <w:t xml:space="preserve"> </w:t>
      </w:r>
      <w:r w:rsidRPr="00F9200E">
        <w:t>to include information about the available CN per  PLMN.</w:t>
      </w:r>
      <w:bookmarkEnd w:id="26"/>
      <w:bookmarkEnd w:id="27"/>
      <w:bookmarkEnd w:id="28"/>
      <w:bookmarkEnd w:id="29"/>
      <w:bookmarkEnd w:id="30"/>
      <w:bookmarkEnd w:id="31"/>
      <w:bookmarkEnd w:id="32"/>
      <w:bookmarkEnd w:id="33"/>
    </w:p>
    <w:p w14:paraId="575E023E" w14:textId="69BA9D4B" w:rsidR="008C26F1" w:rsidRPr="00F9200E" w:rsidRDefault="007051DF" w:rsidP="000B42F7">
      <w:pPr>
        <w:pStyle w:val="BodyText"/>
      </w:pPr>
      <w:bookmarkStart w:id="34" w:name="_Toc490060451"/>
      <w:r>
        <w:t xml:space="preserve">After receiving the </w:t>
      </w:r>
      <w:r w:rsidR="00982A09">
        <w:t>information about the CN in the SI</w:t>
      </w:r>
      <w:r>
        <w:t>, the UE is then able to decide which PLMN and CN to</w:t>
      </w:r>
      <w:r w:rsidR="008C26F1">
        <w:t xml:space="preserve"> use for the </w:t>
      </w:r>
      <w:r>
        <w:t>attach</w:t>
      </w:r>
      <w:r w:rsidR="008C26F1">
        <w:t xml:space="preserve"> procedure</w:t>
      </w:r>
      <w:r>
        <w:t xml:space="preserve">. </w:t>
      </w:r>
      <w:r w:rsidR="008C26F1">
        <w:t>The UEs that are capable only of EPC-NAS should always attach to EPC. On the other hand, the UEs capable of 5GC-NAS should always try to attach to 5GC</w:t>
      </w:r>
      <w:r w:rsidR="006F1F41">
        <w:t xml:space="preserve"> (unless explicitly indicated otherwise by the network)</w:t>
      </w:r>
      <w:r w:rsidR="00D42D26">
        <w:t xml:space="preserve"> [1]</w:t>
      </w:r>
      <w:r w:rsidR="008C26F1">
        <w:t xml:space="preserve">. </w:t>
      </w:r>
      <w:r w:rsidR="00A8318A">
        <w:t>As agreed in RAN2#98, t</w:t>
      </w:r>
      <w:r w:rsidR="009D727E">
        <w:t>h</w:t>
      </w:r>
      <w:r w:rsidR="008C26F1">
        <w:t xml:space="preserve">e UEs </w:t>
      </w:r>
      <w:r w:rsidR="009D727E">
        <w:t xml:space="preserve">should </w:t>
      </w:r>
      <w:r w:rsidR="008C26F1">
        <w:t xml:space="preserve">send the information about the selected </w:t>
      </w:r>
      <w:r w:rsidR="00A8318A">
        <w:t>CN at latest by</w:t>
      </w:r>
      <w:r w:rsidR="008C26F1">
        <w:t xml:space="preserve"> M</w:t>
      </w:r>
      <w:r w:rsidR="00A8318A">
        <w:t>SG</w:t>
      </w:r>
      <w:r w:rsidR="008C26F1">
        <w:t>5</w:t>
      </w:r>
      <w:r w:rsidR="009D727E">
        <w:t>, i.e., in the</w:t>
      </w:r>
      <w:r w:rsidR="008C26F1">
        <w:t xml:space="preserve"> ‘</w:t>
      </w:r>
      <w:r w:rsidR="00F17BE1">
        <w:t>RRCConnectionSetupComplete</w:t>
      </w:r>
      <w:r w:rsidR="008C26F1">
        <w:t>’</w:t>
      </w:r>
      <w:r w:rsidR="009D727E">
        <w:t xml:space="preserve"> message</w:t>
      </w:r>
      <w:r w:rsidR="00874092">
        <w:t xml:space="preserve"> together with the initial NAS message</w:t>
      </w:r>
      <w:r w:rsidR="00A8318A">
        <w:t xml:space="preserve"> and the selected PLMN</w:t>
      </w:r>
      <w:r w:rsidR="00874092">
        <w:t xml:space="preserve">. </w:t>
      </w:r>
      <w:r w:rsidR="00792EF3">
        <w:t>Therefore, using the information in M</w:t>
      </w:r>
      <w:r w:rsidR="00F17BE1">
        <w:t>sg</w:t>
      </w:r>
      <w:r w:rsidR="00792EF3">
        <w:t xml:space="preserve">5 the LTE eNB would be able to decide if the NAS message should be forwarded </w:t>
      </w:r>
      <w:r w:rsidR="00623371">
        <w:t xml:space="preserve">to </w:t>
      </w:r>
      <w:r w:rsidR="00792EF3">
        <w:t>EPC or 5GC.</w:t>
      </w:r>
      <w:bookmarkEnd w:id="34"/>
    </w:p>
    <w:p w14:paraId="2E6831CD" w14:textId="648F5099" w:rsidR="009D727E" w:rsidRDefault="009D727E" w:rsidP="000B42F7">
      <w:pPr>
        <w:pStyle w:val="Proposal"/>
        <w:tabs>
          <w:tab w:val="clear" w:pos="1304"/>
        </w:tabs>
        <w:ind w:left="1701" w:hanging="1701"/>
      </w:pPr>
      <w:bookmarkStart w:id="35" w:name="_Toc490060529"/>
      <w:bookmarkStart w:id="36" w:name="_Toc490060867"/>
      <w:bookmarkStart w:id="37" w:name="_Toc490061042"/>
      <w:bookmarkStart w:id="38" w:name="_Toc490061075"/>
      <w:bookmarkStart w:id="39" w:name="_Toc490061096"/>
      <w:bookmarkStart w:id="40" w:name="_Toc490142293"/>
      <w:bookmarkStart w:id="41" w:name="_Toc490224370"/>
      <w:bookmarkStart w:id="42" w:name="_Toc490224386"/>
      <w:r>
        <w:t>The UEs that are capable of 5GC-NAS should always try to attach to 5GC (unless expli</w:t>
      </w:r>
      <w:r w:rsidR="00B43030">
        <w:t>c</w:t>
      </w:r>
      <w:r>
        <w:t>itly indicated otherwise by the network).</w:t>
      </w:r>
      <w:bookmarkEnd w:id="35"/>
      <w:bookmarkEnd w:id="36"/>
      <w:bookmarkEnd w:id="37"/>
      <w:bookmarkEnd w:id="38"/>
      <w:bookmarkEnd w:id="39"/>
      <w:bookmarkEnd w:id="40"/>
      <w:bookmarkEnd w:id="41"/>
      <w:bookmarkEnd w:id="42"/>
    </w:p>
    <w:p w14:paraId="03F10164" w14:textId="77777777" w:rsidR="00B64871" w:rsidRPr="00F9200E" w:rsidRDefault="00E87CF0" w:rsidP="000B42F7">
      <w:pPr>
        <w:pStyle w:val="BodyText"/>
      </w:pPr>
      <w:bookmarkStart w:id="43" w:name="_Toc490060452"/>
      <w:r>
        <w:t xml:space="preserve">There might be cases in which an UE that is capable of 5GC-NAS is not allowed to attach to 5GC, i.e., because the user </w:t>
      </w:r>
      <w:r w:rsidR="00B43030">
        <w:t xml:space="preserve">subscription does not include </w:t>
      </w:r>
      <w:r>
        <w:t>5GC services.</w:t>
      </w:r>
      <w:r w:rsidR="00EE0015">
        <w:t xml:space="preserve"> The LTE eNB is not </w:t>
      </w:r>
      <w:r w:rsidR="000478E7">
        <w:t xml:space="preserve">always </w:t>
      </w:r>
      <w:r w:rsidR="00EE0015">
        <w:t>able to know if an UE can access 5GC</w:t>
      </w:r>
      <w:r w:rsidR="00242DD6">
        <w:t xml:space="preserve"> or not</w:t>
      </w:r>
      <w:r w:rsidR="00EE0015">
        <w:t xml:space="preserve"> (e.g., because the LTE eNB does not possess any information about user subscription). Therefore,</w:t>
      </w:r>
      <w:r w:rsidR="00B87D41">
        <w:t xml:space="preserve"> </w:t>
      </w:r>
      <w:r w:rsidR="000478E7">
        <w:t xml:space="preserve">LTE eNB should allow </w:t>
      </w:r>
      <w:r w:rsidR="00EE0015">
        <w:t xml:space="preserve">the UE </w:t>
      </w:r>
      <w:r w:rsidR="000478E7">
        <w:t xml:space="preserve">to </w:t>
      </w:r>
      <w:r w:rsidR="00EE0015">
        <w:t xml:space="preserve">try to access </w:t>
      </w:r>
      <w:r w:rsidR="00B87D41">
        <w:t>5</w:t>
      </w:r>
      <w:r w:rsidR="00EE0015">
        <w:t>GC</w:t>
      </w:r>
      <w:r w:rsidR="00726781">
        <w:t xml:space="preserve"> and,</w:t>
      </w:r>
      <w:r w:rsidR="000478E7">
        <w:t xml:space="preserve"> </w:t>
      </w:r>
      <w:r w:rsidR="00726781">
        <w:t>i</w:t>
      </w:r>
      <w:r w:rsidR="000478E7">
        <w:t xml:space="preserve">f the UE is not allowed to attach, the 5GC control plane will </w:t>
      </w:r>
      <w:r w:rsidR="00726781">
        <w:t>reply with</w:t>
      </w:r>
      <w:r w:rsidR="000478E7">
        <w:t xml:space="preserve"> an</w:t>
      </w:r>
      <w:r w:rsidR="00EE0015">
        <w:t xml:space="preserve"> ‘ATTACH REJECT’</w:t>
      </w:r>
      <w:r w:rsidR="000478E7">
        <w:t>.</w:t>
      </w:r>
      <w:r w:rsidR="00535C95">
        <w:t xml:space="preserve"> The UE should then try to attach to EPC.</w:t>
      </w:r>
      <w:bookmarkEnd w:id="43"/>
      <w:r w:rsidR="00535C95">
        <w:t xml:space="preserve"> </w:t>
      </w:r>
      <w:r w:rsidR="000478E7">
        <w:t xml:space="preserve"> </w:t>
      </w:r>
    </w:p>
    <w:p w14:paraId="1595690B" w14:textId="59E49EF8" w:rsidR="000E0102" w:rsidRPr="000B42F7" w:rsidRDefault="00B64871" w:rsidP="000B42F7">
      <w:pPr>
        <w:pStyle w:val="Proposal"/>
        <w:tabs>
          <w:tab w:val="clear" w:pos="1304"/>
        </w:tabs>
        <w:ind w:left="1701" w:hanging="1701"/>
      </w:pPr>
      <w:bookmarkStart w:id="44" w:name="_Toc490060530"/>
      <w:bookmarkStart w:id="45" w:name="_Toc490060868"/>
      <w:bookmarkStart w:id="46" w:name="_Toc490061043"/>
      <w:bookmarkStart w:id="47" w:name="_Toc490061076"/>
      <w:bookmarkStart w:id="48" w:name="_Toc490061097"/>
      <w:bookmarkStart w:id="49" w:name="_Toc490142294"/>
      <w:bookmarkStart w:id="50" w:name="_Toc490224371"/>
      <w:bookmarkStart w:id="51" w:name="_Toc490224387"/>
      <w:r>
        <w:t xml:space="preserve">The LTE eNB is not always able to know if an UE </w:t>
      </w:r>
      <w:r w:rsidR="00016FF8">
        <w:t>capable</w:t>
      </w:r>
      <w:r>
        <w:t xml:space="preserve"> of 5GC-NAS is allowed to attach to 5GC. If the UE is not allowed, the 5GC control plane will reply with </w:t>
      </w:r>
      <w:r w:rsidRPr="00B64871">
        <w:t>‘ATTACH REJECT’</w:t>
      </w:r>
      <w:r>
        <w:t xml:space="preserve"> and</w:t>
      </w:r>
      <w:r w:rsidRPr="00B64871">
        <w:t xml:space="preserve"> </w:t>
      </w:r>
      <w:r>
        <w:t>t</w:t>
      </w:r>
      <w:r w:rsidRPr="00B64871">
        <w:t>he UE should then try to attach to EPC.</w:t>
      </w:r>
      <w:bookmarkEnd w:id="44"/>
      <w:bookmarkEnd w:id="45"/>
      <w:bookmarkEnd w:id="46"/>
      <w:bookmarkEnd w:id="47"/>
      <w:bookmarkEnd w:id="48"/>
      <w:bookmarkEnd w:id="49"/>
      <w:bookmarkEnd w:id="50"/>
      <w:bookmarkEnd w:id="51"/>
      <w:r w:rsidRPr="00B64871">
        <w:t xml:space="preserve">  </w:t>
      </w:r>
      <w:r w:rsidR="00EE0015" w:rsidRPr="000B42F7">
        <w:t xml:space="preserve"> </w:t>
      </w:r>
    </w:p>
    <w:p w14:paraId="7E690B51" w14:textId="77777777" w:rsidR="00C01F33" w:rsidRPr="00CE0424" w:rsidRDefault="00C01F33" w:rsidP="00C02147">
      <w:pPr>
        <w:pStyle w:val="Heading1"/>
        <w:jc w:val="both"/>
      </w:pPr>
      <w:r w:rsidRPr="00CE0424">
        <w:t>Conclusion</w:t>
      </w:r>
    </w:p>
    <w:p w14:paraId="182D0981" w14:textId="14E80B16" w:rsidR="00283248" w:rsidRDefault="008E065E" w:rsidP="00C02147">
      <w:pPr>
        <w:pStyle w:val="BodyText"/>
      </w:pPr>
      <w:r>
        <w:t>In</w:t>
      </w:r>
      <w:r w:rsidR="0002271D">
        <w:t xml:space="preserve"> this contribution, we discussed how an LTE eNB that is connected to both EPC and 5GC should broadcast information about the core networks (CNs) to assist the UEs in performing CN selection.</w:t>
      </w:r>
      <w:r w:rsidR="00B64871">
        <w:t xml:space="preserve"> The following proposals have been made. </w:t>
      </w:r>
      <w:r w:rsidR="0002271D">
        <w:t xml:space="preserve"> </w:t>
      </w:r>
      <w:r>
        <w:t xml:space="preserve"> </w:t>
      </w:r>
    </w:p>
    <w:p w14:paraId="2C3116B6" w14:textId="77777777" w:rsidR="003C3F57" w:rsidRPr="003C3F57" w:rsidRDefault="00283248">
      <w:pPr>
        <w:pStyle w:val="TOC1"/>
        <w:rPr>
          <w:rFonts w:eastAsiaTheme="minorEastAsia" w:cs="Arial"/>
          <w:b w:val="0"/>
          <w:sz w:val="22"/>
          <w:lang w:eastAsia="sv-SE"/>
        </w:rPr>
      </w:pPr>
      <w:r w:rsidRPr="00FC16E5">
        <w:rPr>
          <w:rFonts w:cs="Arial"/>
          <w:b w:val="0"/>
          <w:bCs/>
        </w:rPr>
        <w:lastRenderedPageBreak/>
        <w:fldChar w:fldCharType="begin"/>
      </w:r>
      <w:r w:rsidRPr="00FC16E5">
        <w:rPr>
          <w:rFonts w:cs="Arial"/>
          <w:bCs/>
        </w:rPr>
        <w:instrText xml:space="preserve"> TOC \f \n \p " " \t "Proposal;1" </w:instrText>
      </w:r>
      <w:r w:rsidRPr="00FC16E5">
        <w:rPr>
          <w:rFonts w:cs="Arial"/>
          <w:b w:val="0"/>
          <w:bCs/>
        </w:rPr>
        <w:fldChar w:fldCharType="separate"/>
      </w:r>
      <w:r w:rsidR="003C3F57" w:rsidRPr="003C3F57">
        <w:rPr>
          <w:rFonts w:eastAsiaTheme="minorEastAsia" w:cs="Arial"/>
          <w:lang w:eastAsia="en-US"/>
        </w:rPr>
        <w:t>Proposal 1</w:t>
      </w:r>
      <w:r w:rsidR="003C3F57" w:rsidRPr="003C3F57">
        <w:rPr>
          <w:rFonts w:eastAsiaTheme="minorEastAsia" w:cs="Arial"/>
          <w:b w:val="0"/>
          <w:sz w:val="22"/>
          <w:lang w:eastAsia="sv-SE"/>
        </w:rPr>
        <w:tab/>
      </w:r>
      <w:r w:rsidR="003C3F57" w:rsidRPr="003C3F57">
        <w:rPr>
          <w:rFonts w:cs="Arial"/>
        </w:rPr>
        <w:t>An LTE eNB can belong to multiple PLMNs and for each PLMN,  it can be connected to: (1) EPC only, (2) both EPC and 5GC or (3) 5GC only.</w:t>
      </w:r>
    </w:p>
    <w:p w14:paraId="72411CD4" w14:textId="77777777" w:rsidR="003C3F57" w:rsidRPr="003C3F57" w:rsidRDefault="003C3F57">
      <w:pPr>
        <w:pStyle w:val="TOC1"/>
        <w:rPr>
          <w:rFonts w:eastAsiaTheme="minorEastAsia" w:cs="Arial"/>
          <w:b w:val="0"/>
          <w:sz w:val="22"/>
          <w:lang w:eastAsia="sv-SE"/>
        </w:rPr>
      </w:pPr>
      <w:r w:rsidRPr="003C3F57">
        <w:rPr>
          <w:rFonts w:eastAsiaTheme="minorEastAsia" w:cs="Arial"/>
          <w:lang w:eastAsia="en-US"/>
        </w:rPr>
        <w:t>Proposal 2</w:t>
      </w:r>
      <w:r w:rsidRPr="003C3F57">
        <w:rPr>
          <w:rFonts w:eastAsiaTheme="minorEastAsia" w:cs="Arial"/>
          <w:b w:val="0"/>
          <w:sz w:val="22"/>
          <w:lang w:eastAsia="sv-SE"/>
        </w:rPr>
        <w:tab/>
      </w:r>
      <w:r w:rsidRPr="003C3F57">
        <w:rPr>
          <w:rFonts w:cs="Arial"/>
        </w:rPr>
        <w:t>In case that a PLMN in an LTE eNB is connected to 5GC only, the UEs only capable of EPC-NAS should be barred and should reselect to a different cell.</w:t>
      </w:r>
    </w:p>
    <w:p w14:paraId="46FBF39E" w14:textId="77777777" w:rsidR="003C3F57" w:rsidRPr="003C3F57" w:rsidRDefault="003C3F57">
      <w:pPr>
        <w:pStyle w:val="TOC1"/>
        <w:rPr>
          <w:rFonts w:asciiTheme="minorHAnsi" w:eastAsiaTheme="minorEastAsia" w:hAnsiTheme="minorHAnsi" w:cstheme="minorBidi"/>
          <w:b w:val="0"/>
          <w:sz w:val="22"/>
          <w:lang w:eastAsia="sv-SE"/>
        </w:rPr>
      </w:pPr>
      <w:r>
        <w:t>Proposal 3</w:t>
      </w:r>
      <w:r w:rsidRPr="003C3F57">
        <w:rPr>
          <w:rFonts w:asciiTheme="minorHAnsi" w:eastAsiaTheme="minorEastAsia" w:hAnsiTheme="minorHAnsi" w:cstheme="minorBidi"/>
          <w:b w:val="0"/>
          <w:sz w:val="22"/>
          <w:lang w:eastAsia="sv-SE"/>
        </w:rPr>
        <w:tab/>
      </w:r>
      <w:r>
        <w:t xml:space="preserve">UEs capable only of EPC-NAS can be barred using the </w:t>
      </w:r>
      <w:r w:rsidRPr="00A91C2B">
        <w:rPr>
          <w:i/>
        </w:rPr>
        <w:t xml:space="preserve">cellReservedForOperatorUse </w:t>
      </w:r>
      <w:r>
        <w:t xml:space="preserve">or </w:t>
      </w:r>
      <w:r w:rsidRPr="00A91C2B">
        <w:rPr>
          <w:i/>
        </w:rPr>
        <w:t>cellBarred</w:t>
      </w:r>
      <w:r>
        <w:t xml:space="preserve"> flag in SIB1 which the 5GC-NAS capable UEs ignore. To be able to bar the 5GC-NAS capable UEs, a corresponding new flag is introduced for those UEs (e.g. “</w:t>
      </w:r>
      <w:r w:rsidRPr="00A91C2B">
        <w:rPr>
          <w:i/>
        </w:rPr>
        <w:t xml:space="preserve">cellReservedForOperatorUse-5GC” </w:t>
      </w:r>
      <w:r>
        <w:t xml:space="preserve">or </w:t>
      </w:r>
      <w:r w:rsidRPr="00A91C2B">
        <w:rPr>
          <w:i/>
        </w:rPr>
        <w:t>“cellBarred-5GC”</w:t>
      </w:r>
      <w:r>
        <w:t>).</w:t>
      </w:r>
    </w:p>
    <w:p w14:paraId="4ABDBEF4" w14:textId="77777777" w:rsidR="003C3F57" w:rsidRPr="003C3F57" w:rsidRDefault="003C3F57">
      <w:pPr>
        <w:pStyle w:val="TOC1"/>
        <w:rPr>
          <w:rFonts w:asciiTheme="minorHAnsi" w:eastAsiaTheme="minorEastAsia" w:hAnsiTheme="minorHAnsi" w:cstheme="minorBidi"/>
          <w:b w:val="0"/>
          <w:sz w:val="22"/>
          <w:lang w:eastAsia="sv-SE"/>
        </w:rPr>
      </w:pPr>
      <w:r>
        <w:t>Proposal 4</w:t>
      </w:r>
      <w:r w:rsidRPr="003C3F57">
        <w:rPr>
          <w:rFonts w:asciiTheme="minorHAnsi" w:eastAsiaTheme="minorEastAsia" w:hAnsiTheme="minorHAnsi" w:cstheme="minorBidi"/>
          <w:b w:val="0"/>
          <w:sz w:val="22"/>
          <w:lang w:eastAsia="sv-SE"/>
        </w:rPr>
        <w:tab/>
      </w:r>
      <w:r>
        <w:t>In LTE, the system information should be extended to include information about the available CN per  PLMN.</w:t>
      </w:r>
    </w:p>
    <w:p w14:paraId="6C536636" w14:textId="77777777" w:rsidR="003C3F57" w:rsidRPr="003C3F57" w:rsidRDefault="003C3F57">
      <w:pPr>
        <w:pStyle w:val="TOC1"/>
        <w:rPr>
          <w:rFonts w:asciiTheme="minorHAnsi" w:eastAsiaTheme="minorEastAsia" w:hAnsiTheme="minorHAnsi" w:cstheme="minorBidi"/>
          <w:b w:val="0"/>
          <w:sz w:val="22"/>
          <w:lang w:eastAsia="sv-SE"/>
        </w:rPr>
      </w:pPr>
      <w:r>
        <w:t>Proposal 5</w:t>
      </w:r>
      <w:r w:rsidRPr="003C3F57">
        <w:rPr>
          <w:rFonts w:asciiTheme="minorHAnsi" w:eastAsiaTheme="minorEastAsia" w:hAnsiTheme="minorHAnsi" w:cstheme="minorBidi"/>
          <w:b w:val="0"/>
          <w:sz w:val="22"/>
          <w:lang w:eastAsia="sv-SE"/>
        </w:rPr>
        <w:tab/>
      </w:r>
      <w:r>
        <w:t>The UEs that are capable of 5GC-NAS should always try to attach to 5GC (unless explicitly indicated otherwise by the network).</w:t>
      </w:r>
    </w:p>
    <w:p w14:paraId="56852212" w14:textId="77777777" w:rsidR="003C3F57" w:rsidRPr="003C3F57" w:rsidRDefault="003C3F57">
      <w:pPr>
        <w:pStyle w:val="TOC1"/>
        <w:rPr>
          <w:rFonts w:asciiTheme="minorHAnsi" w:eastAsiaTheme="minorEastAsia" w:hAnsiTheme="minorHAnsi" w:cstheme="minorBidi"/>
          <w:b w:val="0"/>
          <w:sz w:val="22"/>
          <w:lang w:eastAsia="sv-SE"/>
        </w:rPr>
      </w:pPr>
      <w:r>
        <w:t>Proposal 6</w:t>
      </w:r>
      <w:r w:rsidRPr="003C3F57">
        <w:rPr>
          <w:rFonts w:asciiTheme="minorHAnsi" w:eastAsiaTheme="minorEastAsia" w:hAnsiTheme="minorHAnsi" w:cstheme="minorBidi"/>
          <w:b w:val="0"/>
          <w:sz w:val="22"/>
          <w:lang w:eastAsia="sv-SE"/>
        </w:rPr>
        <w:tab/>
      </w:r>
      <w:r>
        <w:t>The LTE eNB is not always able to know if an UE capable of 5GC-NAS is allowed to attach to 5GC. If the UE is not allowed, the 5GC control plane will reply with ‘ATTACH REJECT’ and the UE should then try to attach to EPC.</w:t>
      </w:r>
    </w:p>
    <w:p w14:paraId="1AEB3F4C" w14:textId="66A03C2A" w:rsidR="00283248" w:rsidRDefault="00283248" w:rsidP="000B42F7">
      <w:pPr>
        <w:pStyle w:val="TOC1"/>
        <w:jc w:val="both"/>
      </w:pPr>
      <w:r w:rsidRPr="00FC16E5">
        <w:rPr>
          <w:rFonts w:cs="Arial"/>
          <w:b w:val="0"/>
          <w:bCs/>
        </w:rPr>
        <w:fldChar w:fldCharType="end"/>
      </w:r>
    </w:p>
    <w:p w14:paraId="4C9431F6" w14:textId="77777777" w:rsidR="00F507D1" w:rsidRPr="00CE0424" w:rsidRDefault="00F507D1" w:rsidP="00C02147">
      <w:pPr>
        <w:pStyle w:val="Heading1"/>
        <w:jc w:val="both"/>
      </w:pPr>
      <w:bookmarkStart w:id="52" w:name="_In-sequence_SDU_delivery"/>
      <w:bookmarkEnd w:id="52"/>
      <w:r w:rsidRPr="00CE0424">
        <w:t>References</w:t>
      </w:r>
    </w:p>
    <w:p w14:paraId="170EA1E8" w14:textId="1F252823" w:rsidR="00377C7C" w:rsidRPr="00712604" w:rsidRDefault="00712604" w:rsidP="00712604">
      <w:pPr>
        <w:pStyle w:val="Reference"/>
      </w:pPr>
      <w:bookmarkStart w:id="53" w:name="_Ref174151459"/>
      <w:bookmarkStart w:id="54" w:name="_Ref189809556"/>
      <w:r>
        <w:t>23.501, System Architecture for 5G System, section 5.17.1</w:t>
      </w:r>
    </w:p>
    <w:p w14:paraId="42C84265" w14:textId="0231E409" w:rsidR="00D42D26" w:rsidRPr="0055217A" w:rsidRDefault="00712604" w:rsidP="00D42D26">
      <w:pPr>
        <w:pStyle w:val="Reference"/>
      </w:pPr>
      <w:hyperlink r:id="rId13" w:history="1">
        <w:r w:rsidR="00D42D26" w:rsidRPr="00712604">
          <w:rPr>
            <w:rStyle w:val="Hyperlink"/>
          </w:rPr>
          <w:t>S2-175017</w:t>
        </w:r>
      </w:hyperlink>
      <w:r w:rsidR="00D42D26">
        <w:t>, “</w:t>
      </w:r>
      <w:r w:rsidR="00D42D26" w:rsidRPr="0055217A">
        <w:t>Response LS on LTE connectivity to 5G-CN</w:t>
      </w:r>
      <w:r w:rsidR="00D42D26">
        <w:t xml:space="preserve">”, </w:t>
      </w:r>
      <w:r w:rsidR="00D42D26" w:rsidRPr="0055217A">
        <w:t>SA WG2 Meeting #122</w:t>
      </w:r>
    </w:p>
    <w:p w14:paraId="3D49E985" w14:textId="21EEF32F" w:rsidR="00912426" w:rsidRPr="00CE0424" w:rsidRDefault="00912426" w:rsidP="00CF47BB">
      <w:pPr>
        <w:pStyle w:val="Reference"/>
      </w:pPr>
      <w:bookmarkStart w:id="55" w:name="_Ref490058833"/>
      <w:r>
        <w:t>TS 36.304</w:t>
      </w:r>
      <w:bookmarkEnd w:id="55"/>
      <w:r w:rsidR="00712604">
        <w:t>, UE procedures in idle mode</w:t>
      </w:r>
    </w:p>
    <w:p w14:paraId="214747F6" w14:textId="77777777" w:rsidR="00377C7C" w:rsidRDefault="00377C7C" w:rsidP="00CF47BB">
      <w:pPr>
        <w:pStyle w:val="Reference"/>
        <w:numPr>
          <w:ilvl w:val="0"/>
          <w:numId w:val="0"/>
        </w:numPr>
        <w:ind w:left="567"/>
      </w:pPr>
    </w:p>
    <w:bookmarkEnd w:id="53"/>
    <w:bookmarkEnd w:id="54"/>
    <w:p w14:paraId="03AA3908" w14:textId="717167FE" w:rsidR="00B904EC" w:rsidRDefault="00B904EC" w:rsidP="00C02147">
      <w:pPr>
        <w:pStyle w:val="BodyText"/>
      </w:pPr>
    </w:p>
    <w:sectPr w:rsidR="00B904EC">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FC8FAE" w14:textId="77777777" w:rsidR="00DE14AC" w:rsidRDefault="00DE14AC">
      <w:r>
        <w:separator/>
      </w:r>
    </w:p>
  </w:endnote>
  <w:endnote w:type="continuationSeparator" w:id="0">
    <w:p w14:paraId="1031C50B" w14:textId="77777777" w:rsidR="00DE14AC" w:rsidRDefault="00DE1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71DC2FF"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1260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1260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100596" w14:textId="77777777" w:rsidR="00DE14AC" w:rsidRDefault="00DE14AC">
      <w:r>
        <w:separator/>
      </w:r>
    </w:p>
  </w:footnote>
  <w:footnote w:type="continuationSeparator" w:id="0">
    <w:p w14:paraId="21C01EA6" w14:textId="77777777" w:rsidR="00DE14AC" w:rsidRDefault="00DE14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A0064"/>
    <w:multiLevelType w:val="hybridMultilevel"/>
    <w:tmpl w:val="4EDCAA30"/>
    <w:lvl w:ilvl="0" w:tplc="041D0001">
      <w:start w:val="1"/>
      <w:numFmt w:val="bullet"/>
      <w:lvlText w:val=""/>
      <w:lvlJc w:val="left"/>
      <w:pPr>
        <w:ind w:left="944" w:hanging="360"/>
      </w:pPr>
      <w:rPr>
        <w:rFonts w:ascii="Symbol" w:hAnsi="Symbol" w:hint="default"/>
      </w:rPr>
    </w:lvl>
    <w:lvl w:ilvl="1" w:tplc="041D0003" w:tentative="1">
      <w:start w:val="1"/>
      <w:numFmt w:val="bullet"/>
      <w:lvlText w:val="o"/>
      <w:lvlJc w:val="left"/>
      <w:pPr>
        <w:ind w:left="1664" w:hanging="360"/>
      </w:pPr>
      <w:rPr>
        <w:rFonts w:ascii="Courier New" w:hAnsi="Courier New" w:cs="Courier New" w:hint="default"/>
      </w:rPr>
    </w:lvl>
    <w:lvl w:ilvl="2" w:tplc="041D0005" w:tentative="1">
      <w:start w:val="1"/>
      <w:numFmt w:val="bullet"/>
      <w:lvlText w:val=""/>
      <w:lvlJc w:val="left"/>
      <w:pPr>
        <w:ind w:left="2384" w:hanging="360"/>
      </w:pPr>
      <w:rPr>
        <w:rFonts w:ascii="Wingdings" w:hAnsi="Wingdings" w:hint="default"/>
      </w:rPr>
    </w:lvl>
    <w:lvl w:ilvl="3" w:tplc="041D0001" w:tentative="1">
      <w:start w:val="1"/>
      <w:numFmt w:val="bullet"/>
      <w:lvlText w:val=""/>
      <w:lvlJc w:val="left"/>
      <w:pPr>
        <w:ind w:left="3104" w:hanging="360"/>
      </w:pPr>
      <w:rPr>
        <w:rFonts w:ascii="Symbol" w:hAnsi="Symbol" w:hint="default"/>
      </w:rPr>
    </w:lvl>
    <w:lvl w:ilvl="4" w:tplc="041D0003" w:tentative="1">
      <w:start w:val="1"/>
      <w:numFmt w:val="bullet"/>
      <w:lvlText w:val="o"/>
      <w:lvlJc w:val="left"/>
      <w:pPr>
        <w:ind w:left="3824" w:hanging="360"/>
      </w:pPr>
      <w:rPr>
        <w:rFonts w:ascii="Courier New" w:hAnsi="Courier New" w:cs="Courier New" w:hint="default"/>
      </w:rPr>
    </w:lvl>
    <w:lvl w:ilvl="5" w:tplc="041D0005" w:tentative="1">
      <w:start w:val="1"/>
      <w:numFmt w:val="bullet"/>
      <w:lvlText w:val=""/>
      <w:lvlJc w:val="left"/>
      <w:pPr>
        <w:ind w:left="4544" w:hanging="360"/>
      </w:pPr>
      <w:rPr>
        <w:rFonts w:ascii="Wingdings" w:hAnsi="Wingdings" w:hint="default"/>
      </w:rPr>
    </w:lvl>
    <w:lvl w:ilvl="6" w:tplc="041D0001" w:tentative="1">
      <w:start w:val="1"/>
      <w:numFmt w:val="bullet"/>
      <w:lvlText w:val=""/>
      <w:lvlJc w:val="left"/>
      <w:pPr>
        <w:ind w:left="5264" w:hanging="360"/>
      </w:pPr>
      <w:rPr>
        <w:rFonts w:ascii="Symbol" w:hAnsi="Symbol" w:hint="default"/>
      </w:rPr>
    </w:lvl>
    <w:lvl w:ilvl="7" w:tplc="041D0003" w:tentative="1">
      <w:start w:val="1"/>
      <w:numFmt w:val="bullet"/>
      <w:lvlText w:val="o"/>
      <w:lvlJc w:val="left"/>
      <w:pPr>
        <w:ind w:left="5984" w:hanging="360"/>
      </w:pPr>
      <w:rPr>
        <w:rFonts w:ascii="Courier New" w:hAnsi="Courier New" w:cs="Courier New" w:hint="default"/>
      </w:rPr>
    </w:lvl>
    <w:lvl w:ilvl="8" w:tplc="041D0005" w:tentative="1">
      <w:start w:val="1"/>
      <w:numFmt w:val="bullet"/>
      <w:lvlText w:val=""/>
      <w:lvlJc w:val="left"/>
      <w:pPr>
        <w:ind w:left="670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7"/>
  </w:num>
  <w:num w:numId="10">
    <w:abstractNumId w:val="2"/>
  </w:num>
  <w:num w:numId="11">
    <w:abstractNumId w:val="1"/>
  </w:num>
  <w:num w:numId="12">
    <w:abstractNumId w:val="0"/>
  </w:num>
  <w:num w:numId="13">
    <w:abstractNumId w:val="19"/>
  </w:num>
  <w:num w:numId="14">
    <w:abstractNumId w:val="22"/>
  </w:num>
  <w:num w:numId="15">
    <w:abstractNumId w:val="16"/>
  </w:num>
  <w:num w:numId="16">
    <w:abstractNumId w:val="23"/>
  </w:num>
  <w:num w:numId="17">
    <w:abstractNumId w:val="21"/>
  </w:num>
  <w:num w:numId="18">
    <w:abstractNumId w:val="8"/>
  </w:num>
  <w:num w:numId="19">
    <w:abstractNumId w:val="5"/>
  </w:num>
  <w:num w:numId="20">
    <w:abstractNumId w:val="18"/>
  </w:num>
  <w:num w:numId="21">
    <w:abstractNumId w:val="4"/>
  </w:num>
  <w:num w:numId="22">
    <w:abstractNumId w:val="14"/>
  </w:num>
  <w:num w:numId="23">
    <w:abstractNumId w:val="9"/>
  </w:num>
  <w:num w:numId="24">
    <w:abstractNumId w:val="6"/>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11D8"/>
    <w:rsid w:val="00002A37"/>
    <w:rsid w:val="00004DEC"/>
    <w:rsid w:val="00005B9B"/>
    <w:rsid w:val="00006446"/>
    <w:rsid w:val="00006896"/>
    <w:rsid w:val="00006B58"/>
    <w:rsid w:val="00007172"/>
    <w:rsid w:val="00007CDC"/>
    <w:rsid w:val="00011B28"/>
    <w:rsid w:val="00015D15"/>
    <w:rsid w:val="00016FF8"/>
    <w:rsid w:val="00021423"/>
    <w:rsid w:val="0002271D"/>
    <w:rsid w:val="0002437C"/>
    <w:rsid w:val="0002564D"/>
    <w:rsid w:val="00025ECA"/>
    <w:rsid w:val="00027939"/>
    <w:rsid w:val="000325B8"/>
    <w:rsid w:val="00034C15"/>
    <w:rsid w:val="00035C99"/>
    <w:rsid w:val="00035FB9"/>
    <w:rsid w:val="00036BA1"/>
    <w:rsid w:val="00036BC9"/>
    <w:rsid w:val="000422E2"/>
    <w:rsid w:val="00042F22"/>
    <w:rsid w:val="000436EF"/>
    <w:rsid w:val="000444EF"/>
    <w:rsid w:val="00045ECF"/>
    <w:rsid w:val="000478E7"/>
    <w:rsid w:val="00052A07"/>
    <w:rsid w:val="000534E3"/>
    <w:rsid w:val="0005422C"/>
    <w:rsid w:val="0005606A"/>
    <w:rsid w:val="00057117"/>
    <w:rsid w:val="000616E7"/>
    <w:rsid w:val="0006487E"/>
    <w:rsid w:val="00065E1A"/>
    <w:rsid w:val="00065F31"/>
    <w:rsid w:val="00067548"/>
    <w:rsid w:val="00073CE1"/>
    <w:rsid w:val="00074543"/>
    <w:rsid w:val="00077E5F"/>
    <w:rsid w:val="000801E5"/>
    <w:rsid w:val="0008036A"/>
    <w:rsid w:val="00081AE6"/>
    <w:rsid w:val="000855EB"/>
    <w:rsid w:val="00085B52"/>
    <w:rsid w:val="000866F2"/>
    <w:rsid w:val="0009009F"/>
    <w:rsid w:val="00091056"/>
    <w:rsid w:val="00091189"/>
    <w:rsid w:val="00091557"/>
    <w:rsid w:val="000924C1"/>
    <w:rsid w:val="000924F0"/>
    <w:rsid w:val="00093474"/>
    <w:rsid w:val="0009510F"/>
    <w:rsid w:val="000A1B7B"/>
    <w:rsid w:val="000A56F2"/>
    <w:rsid w:val="000B2719"/>
    <w:rsid w:val="000B3A8F"/>
    <w:rsid w:val="000B42F7"/>
    <w:rsid w:val="000B4AB9"/>
    <w:rsid w:val="000B56B2"/>
    <w:rsid w:val="000B58C3"/>
    <w:rsid w:val="000B58CB"/>
    <w:rsid w:val="000B61E9"/>
    <w:rsid w:val="000B69D5"/>
    <w:rsid w:val="000C03B7"/>
    <w:rsid w:val="000C04C5"/>
    <w:rsid w:val="000C0936"/>
    <w:rsid w:val="000C165A"/>
    <w:rsid w:val="000C2E19"/>
    <w:rsid w:val="000D0A66"/>
    <w:rsid w:val="000D0D07"/>
    <w:rsid w:val="000D4797"/>
    <w:rsid w:val="000D61D6"/>
    <w:rsid w:val="000D65F8"/>
    <w:rsid w:val="000E0102"/>
    <w:rsid w:val="000E0527"/>
    <w:rsid w:val="000E1E92"/>
    <w:rsid w:val="000E71DD"/>
    <w:rsid w:val="000F06D6"/>
    <w:rsid w:val="000F0EB1"/>
    <w:rsid w:val="000F1106"/>
    <w:rsid w:val="000F3BE9"/>
    <w:rsid w:val="000F3F6C"/>
    <w:rsid w:val="000F6DF3"/>
    <w:rsid w:val="000F7293"/>
    <w:rsid w:val="001005FF"/>
    <w:rsid w:val="00103DE0"/>
    <w:rsid w:val="001062FB"/>
    <w:rsid w:val="001063E6"/>
    <w:rsid w:val="0011378B"/>
    <w:rsid w:val="00113CF4"/>
    <w:rsid w:val="00115036"/>
    <w:rsid w:val="001153EA"/>
    <w:rsid w:val="00115643"/>
    <w:rsid w:val="00116765"/>
    <w:rsid w:val="001219F5"/>
    <w:rsid w:val="00121A20"/>
    <w:rsid w:val="001224DB"/>
    <w:rsid w:val="00122F2E"/>
    <w:rsid w:val="0012372A"/>
    <w:rsid w:val="0012377F"/>
    <w:rsid w:val="00123ED1"/>
    <w:rsid w:val="00124314"/>
    <w:rsid w:val="00124F78"/>
    <w:rsid w:val="00126B4A"/>
    <w:rsid w:val="00127422"/>
    <w:rsid w:val="00132FD0"/>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06A2"/>
    <w:rsid w:val="001621D3"/>
    <w:rsid w:val="001643A8"/>
    <w:rsid w:val="001650CA"/>
    <w:rsid w:val="001659C1"/>
    <w:rsid w:val="001708F2"/>
    <w:rsid w:val="00173A8E"/>
    <w:rsid w:val="00175394"/>
    <w:rsid w:val="00177795"/>
    <w:rsid w:val="00177E4E"/>
    <w:rsid w:val="0018143F"/>
    <w:rsid w:val="00190AC1"/>
    <w:rsid w:val="0019341A"/>
    <w:rsid w:val="00194319"/>
    <w:rsid w:val="00197DF9"/>
    <w:rsid w:val="001A135D"/>
    <w:rsid w:val="001A1987"/>
    <w:rsid w:val="001A1E20"/>
    <w:rsid w:val="001A2564"/>
    <w:rsid w:val="001A4EB6"/>
    <w:rsid w:val="001A6173"/>
    <w:rsid w:val="001A6CBA"/>
    <w:rsid w:val="001B0D97"/>
    <w:rsid w:val="001B5A5D"/>
    <w:rsid w:val="001C1CE5"/>
    <w:rsid w:val="001C3D2A"/>
    <w:rsid w:val="001C6495"/>
    <w:rsid w:val="001D1F01"/>
    <w:rsid w:val="001D4D2D"/>
    <w:rsid w:val="001D51BA"/>
    <w:rsid w:val="001D6342"/>
    <w:rsid w:val="001D6D53"/>
    <w:rsid w:val="001E58E2"/>
    <w:rsid w:val="001E7AED"/>
    <w:rsid w:val="001E7EC3"/>
    <w:rsid w:val="001F2E43"/>
    <w:rsid w:val="001F3916"/>
    <w:rsid w:val="001F54C5"/>
    <w:rsid w:val="001F662C"/>
    <w:rsid w:val="001F7074"/>
    <w:rsid w:val="00200490"/>
    <w:rsid w:val="0020163F"/>
    <w:rsid w:val="00201F3A"/>
    <w:rsid w:val="00203F96"/>
    <w:rsid w:val="002069B2"/>
    <w:rsid w:val="00207BC4"/>
    <w:rsid w:val="00207FA3"/>
    <w:rsid w:val="00213805"/>
    <w:rsid w:val="00214DA8"/>
    <w:rsid w:val="002151F3"/>
    <w:rsid w:val="00215423"/>
    <w:rsid w:val="002158FA"/>
    <w:rsid w:val="00216BCC"/>
    <w:rsid w:val="00220600"/>
    <w:rsid w:val="00221332"/>
    <w:rsid w:val="002224DB"/>
    <w:rsid w:val="00223FCB"/>
    <w:rsid w:val="002252C3"/>
    <w:rsid w:val="00225C54"/>
    <w:rsid w:val="00226F70"/>
    <w:rsid w:val="00230765"/>
    <w:rsid w:val="002319E4"/>
    <w:rsid w:val="00232319"/>
    <w:rsid w:val="00235632"/>
    <w:rsid w:val="00235872"/>
    <w:rsid w:val="00235A08"/>
    <w:rsid w:val="00241559"/>
    <w:rsid w:val="00242DD6"/>
    <w:rsid w:val="002435B3"/>
    <w:rsid w:val="002458EB"/>
    <w:rsid w:val="002500C8"/>
    <w:rsid w:val="00257543"/>
    <w:rsid w:val="002617E7"/>
    <w:rsid w:val="00261FC8"/>
    <w:rsid w:val="0026285C"/>
    <w:rsid w:val="00264228"/>
    <w:rsid w:val="00264334"/>
    <w:rsid w:val="0026473E"/>
    <w:rsid w:val="00265A14"/>
    <w:rsid w:val="00266214"/>
    <w:rsid w:val="00267C83"/>
    <w:rsid w:val="0027144F"/>
    <w:rsid w:val="00271ED2"/>
    <w:rsid w:val="00271F3A"/>
    <w:rsid w:val="002727E1"/>
    <w:rsid w:val="00273278"/>
    <w:rsid w:val="002737F4"/>
    <w:rsid w:val="00274BD1"/>
    <w:rsid w:val="0027520B"/>
    <w:rsid w:val="002805F5"/>
    <w:rsid w:val="00280751"/>
    <w:rsid w:val="0028280A"/>
    <w:rsid w:val="00283248"/>
    <w:rsid w:val="002865D0"/>
    <w:rsid w:val="00286ACD"/>
    <w:rsid w:val="00287838"/>
    <w:rsid w:val="0028792C"/>
    <w:rsid w:val="002907B5"/>
    <w:rsid w:val="002908EC"/>
    <w:rsid w:val="00290A36"/>
    <w:rsid w:val="00292EB7"/>
    <w:rsid w:val="00296029"/>
    <w:rsid w:val="00296227"/>
    <w:rsid w:val="00296F44"/>
    <w:rsid w:val="0029777D"/>
    <w:rsid w:val="002A055E"/>
    <w:rsid w:val="002A107B"/>
    <w:rsid w:val="002A1D4E"/>
    <w:rsid w:val="002A2869"/>
    <w:rsid w:val="002A4A5C"/>
    <w:rsid w:val="002A4BF9"/>
    <w:rsid w:val="002B24D6"/>
    <w:rsid w:val="002C41E6"/>
    <w:rsid w:val="002C5E48"/>
    <w:rsid w:val="002D071A"/>
    <w:rsid w:val="002D34B2"/>
    <w:rsid w:val="002D47E3"/>
    <w:rsid w:val="002D7637"/>
    <w:rsid w:val="002E17F2"/>
    <w:rsid w:val="002E1C82"/>
    <w:rsid w:val="002E7CAE"/>
    <w:rsid w:val="002F2771"/>
    <w:rsid w:val="002F37A9"/>
    <w:rsid w:val="002F6537"/>
    <w:rsid w:val="002F6541"/>
    <w:rsid w:val="002F74AF"/>
    <w:rsid w:val="00301CE6"/>
    <w:rsid w:val="0030256B"/>
    <w:rsid w:val="00304148"/>
    <w:rsid w:val="0030501F"/>
    <w:rsid w:val="00307BA1"/>
    <w:rsid w:val="00307F7F"/>
    <w:rsid w:val="00311702"/>
    <w:rsid w:val="00311E82"/>
    <w:rsid w:val="00313FD6"/>
    <w:rsid w:val="003143BD"/>
    <w:rsid w:val="00317B01"/>
    <w:rsid w:val="00320151"/>
    <w:rsid w:val="003203ED"/>
    <w:rsid w:val="0032147A"/>
    <w:rsid w:val="00321ACD"/>
    <w:rsid w:val="00322C9F"/>
    <w:rsid w:val="003242F4"/>
    <w:rsid w:val="00324D23"/>
    <w:rsid w:val="00331751"/>
    <w:rsid w:val="003335CC"/>
    <w:rsid w:val="00334579"/>
    <w:rsid w:val="00335858"/>
    <w:rsid w:val="00336BDA"/>
    <w:rsid w:val="003424EC"/>
    <w:rsid w:val="00342BD7"/>
    <w:rsid w:val="00343A07"/>
    <w:rsid w:val="0034672C"/>
    <w:rsid w:val="00346DB5"/>
    <w:rsid w:val="00346F8A"/>
    <w:rsid w:val="003477B1"/>
    <w:rsid w:val="00347F5E"/>
    <w:rsid w:val="00350D90"/>
    <w:rsid w:val="0035482C"/>
    <w:rsid w:val="00357380"/>
    <w:rsid w:val="003602D9"/>
    <w:rsid w:val="003604CE"/>
    <w:rsid w:val="00361F95"/>
    <w:rsid w:val="00367FE3"/>
    <w:rsid w:val="00370E47"/>
    <w:rsid w:val="00371C83"/>
    <w:rsid w:val="003742AC"/>
    <w:rsid w:val="003755E5"/>
    <w:rsid w:val="0037643E"/>
    <w:rsid w:val="00377C7C"/>
    <w:rsid w:val="00377CE1"/>
    <w:rsid w:val="00385BF0"/>
    <w:rsid w:val="00390499"/>
    <w:rsid w:val="003939FF"/>
    <w:rsid w:val="00394905"/>
    <w:rsid w:val="003A2223"/>
    <w:rsid w:val="003A2A0F"/>
    <w:rsid w:val="003A3273"/>
    <w:rsid w:val="003A4191"/>
    <w:rsid w:val="003A45A1"/>
    <w:rsid w:val="003A5B0A"/>
    <w:rsid w:val="003A6BAC"/>
    <w:rsid w:val="003A7EF3"/>
    <w:rsid w:val="003B0BB2"/>
    <w:rsid w:val="003B159C"/>
    <w:rsid w:val="003B35C4"/>
    <w:rsid w:val="003B369F"/>
    <w:rsid w:val="003B36A3"/>
    <w:rsid w:val="003B6EB4"/>
    <w:rsid w:val="003B7FE5"/>
    <w:rsid w:val="003C11C8"/>
    <w:rsid w:val="003C2702"/>
    <w:rsid w:val="003C3B0A"/>
    <w:rsid w:val="003C3F57"/>
    <w:rsid w:val="003C7806"/>
    <w:rsid w:val="003D109F"/>
    <w:rsid w:val="003D2478"/>
    <w:rsid w:val="003D2D30"/>
    <w:rsid w:val="003D2FC4"/>
    <w:rsid w:val="003D3C0B"/>
    <w:rsid w:val="003D3C45"/>
    <w:rsid w:val="003D5B1F"/>
    <w:rsid w:val="003E15FA"/>
    <w:rsid w:val="003E55E4"/>
    <w:rsid w:val="003E609B"/>
    <w:rsid w:val="003E74E3"/>
    <w:rsid w:val="003E75BA"/>
    <w:rsid w:val="003F05C7"/>
    <w:rsid w:val="003F2526"/>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17B"/>
    <w:rsid w:val="00437447"/>
    <w:rsid w:val="00440253"/>
    <w:rsid w:val="00440B16"/>
    <w:rsid w:val="00441A92"/>
    <w:rsid w:val="00443ED6"/>
    <w:rsid w:val="00444F56"/>
    <w:rsid w:val="00446488"/>
    <w:rsid w:val="004517AA"/>
    <w:rsid w:val="00451AAC"/>
    <w:rsid w:val="00452CAC"/>
    <w:rsid w:val="00457136"/>
    <w:rsid w:val="00457565"/>
    <w:rsid w:val="00457995"/>
    <w:rsid w:val="00457B71"/>
    <w:rsid w:val="00465F3A"/>
    <w:rsid w:val="004669E2"/>
    <w:rsid w:val="00470C31"/>
    <w:rsid w:val="004734D0"/>
    <w:rsid w:val="0047556B"/>
    <w:rsid w:val="00477768"/>
    <w:rsid w:val="00485B0C"/>
    <w:rsid w:val="00490723"/>
    <w:rsid w:val="00492BC5"/>
    <w:rsid w:val="004964F1"/>
    <w:rsid w:val="00497A31"/>
    <w:rsid w:val="004A16BC"/>
    <w:rsid w:val="004A2B94"/>
    <w:rsid w:val="004A3007"/>
    <w:rsid w:val="004B7C0C"/>
    <w:rsid w:val="004C2035"/>
    <w:rsid w:val="004C3898"/>
    <w:rsid w:val="004C7C52"/>
    <w:rsid w:val="004D34D1"/>
    <w:rsid w:val="004D36B1"/>
    <w:rsid w:val="004D5D70"/>
    <w:rsid w:val="004D7EBD"/>
    <w:rsid w:val="004E2680"/>
    <w:rsid w:val="004E28F9"/>
    <w:rsid w:val="004E462E"/>
    <w:rsid w:val="004E4B67"/>
    <w:rsid w:val="004E5305"/>
    <w:rsid w:val="004E56DC"/>
    <w:rsid w:val="004E76F4"/>
    <w:rsid w:val="004F0B4E"/>
    <w:rsid w:val="004F0B6C"/>
    <w:rsid w:val="004F2078"/>
    <w:rsid w:val="004F4DA3"/>
    <w:rsid w:val="004F7F3D"/>
    <w:rsid w:val="00503025"/>
    <w:rsid w:val="00506557"/>
    <w:rsid w:val="0050677A"/>
    <w:rsid w:val="005108D8"/>
    <w:rsid w:val="005116F9"/>
    <w:rsid w:val="00514A0B"/>
    <w:rsid w:val="005153A7"/>
    <w:rsid w:val="005219CF"/>
    <w:rsid w:val="00527FE2"/>
    <w:rsid w:val="00531534"/>
    <w:rsid w:val="005338D0"/>
    <w:rsid w:val="00534B59"/>
    <w:rsid w:val="00535829"/>
    <w:rsid w:val="00535C95"/>
    <w:rsid w:val="00536759"/>
    <w:rsid w:val="00537C62"/>
    <w:rsid w:val="00542382"/>
    <w:rsid w:val="00546970"/>
    <w:rsid w:val="00554E19"/>
    <w:rsid w:val="005550A9"/>
    <w:rsid w:val="00557F53"/>
    <w:rsid w:val="0056121F"/>
    <w:rsid w:val="0056299C"/>
    <w:rsid w:val="00572505"/>
    <w:rsid w:val="005745BA"/>
    <w:rsid w:val="0057612B"/>
    <w:rsid w:val="00577949"/>
    <w:rsid w:val="00580202"/>
    <w:rsid w:val="00582490"/>
    <w:rsid w:val="00582809"/>
    <w:rsid w:val="0058798C"/>
    <w:rsid w:val="005900FA"/>
    <w:rsid w:val="005918DF"/>
    <w:rsid w:val="005935A4"/>
    <w:rsid w:val="005948C2"/>
    <w:rsid w:val="00595AC4"/>
    <w:rsid w:val="00595DCA"/>
    <w:rsid w:val="0059779B"/>
    <w:rsid w:val="005A209A"/>
    <w:rsid w:val="005A662D"/>
    <w:rsid w:val="005B35D7"/>
    <w:rsid w:val="005B392A"/>
    <w:rsid w:val="005B3AA3"/>
    <w:rsid w:val="005B6F83"/>
    <w:rsid w:val="005C74FB"/>
    <w:rsid w:val="005D1602"/>
    <w:rsid w:val="005D217E"/>
    <w:rsid w:val="005D2EC1"/>
    <w:rsid w:val="005D538D"/>
    <w:rsid w:val="005E3477"/>
    <w:rsid w:val="005E385F"/>
    <w:rsid w:val="005E42F9"/>
    <w:rsid w:val="005E5B81"/>
    <w:rsid w:val="005F2CB1"/>
    <w:rsid w:val="005F3025"/>
    <w:rsid w:val="005F43CA"/>
    <w:rsid w:val="005F4D03"/>
    <w:rsid w:val="005F5D0B"/>
    <w:rsid w:val="005F618C"/>
    <w:rsid w:val="005F70BD"/>
    <w:rsid w:val="0060283C"/>
    <w:rsid w:val="00604F14"/>
    <w:rsid w:val="00605F62"/>
    <w:rsid w:val="00611B83"/>
    <w:rsid w:val="00612BE2"/>
    <w:rsid w:val="00612C56"/>
    <w:rsid w:val="00613257"/>
    <w:rsid w:val="0062061C"/>
    <w:rsid w:val="006207F6"/>
    <w:rsid w:val="00620A71"/>
    <w:rsid w:val="00620D80"/>
    <w:rsid w:val="00623371"/>
    <w:rsid w:val="006234A6"/>
    <w:rsid w:val="00624D23"/>
    <w:rsid w:val="00630001"/>
    <w:rsid w:val="006311B3"/>
    <w:rsid w:val="0063247F"/>
    <w:rsid w:val="0063284C"/>
    <w:rsid w:val="00633B20"/>
    <w:rsid w:val="00636398"/>
    <w:rsid w:val="00636795"/>
    <w:rsid w:val="006368D3"/>
    <w:rsid w:val="006377EC"/>
    <w:rsid w:val="0064151F"/>
    <w:rsid w:val="00641533"/>
    <w:rsid w:val="0064208D"/>
    <w:rsid w:val="00643475"/>
    <w:rsid w:val="0064396A"/>
    <w:rsid w:val="0064624E"/>
    <w:rsid w:val="00650AB9"/>
    <w:rsid w:val="00654D90"/>
    <w:rsid w:val="00654DF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DA"/>
    <w:rsid w:val="00680D7A"/>
    <w:rsid w:val="00681003"/>
    <w:rsid w:val="006817C9"/>
    <w:rsid w:val="00683ECE"/>
    <w:rsid w:val="00686867"/>
    <w:rsid w:val="0069086B"/>
    <w:rsid w:val="00695FC2"/>
    <w:rsid w:val="00696949"/>
    <w:rsid w:val="00697052"/>
    <w:rsid w:val="006A097C"/>
    <w:rsid w:val="006A46FB"/>
    <w:rsid w:val="006A5E28"/>
    <w:rsid w:val="006A697B"/>
    <w:rsid w:val="006A7AFF"/>
    <w:rsid w:val="006B1816"/>
    <w:rsid w:val="006B2099"/>
    <w:rsid w:val="006B26A5"/>
    <w:rsid w:val="006B3F71"/>
    <w:rsid w:val="006B50CF"/>
    <w:rsid w:val="006C03B8"/>
    <w:rsid w:val="006C5703"/>
    <w:rsid w:val="006C5EBA"/>
    <w:rsid w:val="006C5EC9"/>
    <w:rsid w:val="006C6059"/>
    <w:rsid w:val="006C7522"/>
    <w:rsid w:val="006D3BD4"/>
    <w:rsid w:val="006D6F08"/>
    <w:rsid w:val="006E062C"/>
    <w:rsid w:val="006E28B7"/>
    <w:rsid w:val="006E3310"/>
    <w:rsid w:val="006E4E39"/>
    <w:rsid w:val="006E565E"/>
    <w:rsid w:val="006E673D"/>
    <w:rsid w:val="006E7D3B"/>
    <w:rsid w:val="006F141B"/>
    <w:rsid w:val="006F1B70"/>
    <w:rsid w:val="006F1F41"/>
    <w:rsid w:val="006F341D"/>
    <w:rsid w:val="006F3CDE"/>
    <w:rsid w:val="006F58D4"/>
    <w:rsid w:val="006F7502"/>
    <w:rsid w:val="00700140"/>
    <w:rsid w:val="00702F08"/>
    <w:rsid w:val="0070346E"/>
    <w:rsid w:val="00703C0F"/>
    <w:rsid w:val="00704EDB"/>
    <w:rsid w:val="007051DF"/>
    <w:rsid w:val="0070537F"/>
    <w:rsid w:val="00706101"/>
    <w:rsid w:val="00706C0A"/>
    <w:rsid w:val="00707072"/>
    <w:rsid w:val="00707D61"/>
    <w:rsid w:val="0071071A"/>
    <w:rsid w:val="00710F3E"/>
    <w:rsid w:val="00711A87"/>
    <w:rsid w:val="00712287"/>
    <w:rsid w:val="00712604"/>
    <w:rsid w:val="00712772"/>
    <w:rsid w:val="00712975"/>
    <w:rsid w:val="00712CB7"/>
    <w:rsid w:val="00713568"/>
    <w:rsid w:val="007148D3"/>
    <w:rsid w:val="00715B9A"/>
    <w:rsid w:val="00721593"/>
    <w:rsid w:val="007215D3"/>
    <w:rsid w:val="007239C8"/>
    <w:rsid w:val="00726781"/>
    <w:rsid w:val="00726EA6"/>
    <w:rsid w:val="00727208"/>
    <w:rsid w:val="00727680"/>
    <w:rsid w:val="007306CB"/>
    <w:rsid w:val="007348B1"/>
    <w:rsid w:val="00734B23"/>
    <w:rsid w:val="007362A6"/>
    <w:rsid w:val="00736D7D"/>
    <w:rsid w:val="0073743B"/>
    <w:rsid w:val="00737B36"/>
    <w:rsid w:val="00740E58"/>
    <w:rsid w:val="00741314"/>
    <w:rsid w:val="0074405B"/>
    <w:rsid w:val="007445A0"/>
    <w:rsid w:val="0074524B"/>
    <w:rsid w:val="007472BA"/>
    <w:rsid w:val="00747D8B"/>
    <w:rsid w:val="00751228"/>
    <w:rsid w:val="00757196"/>
    <w:rsid w:val="007571E1"/>
    <w:rsid w:val="007604B2"/>
    <w:rsid w:val="00762919"/>
    <w:rsid w:val="00764196"/>
    <w:rsid w:val="007651A3"/>
    <w:rsid w:val="00765281"/>
    <w:rsid w:val="00766BAD"/>
    <w:rsid w:val="00772536"/>
    <w:rsid w:val="007730BD"/>
    <w:rsid w:val="007755F2"/>
    <w:rsid w:val="00776971"/>
    <w:rsid w:val="00777E87"/>
    <w:rsid w:val="0078177E"/>
    <w:rsid w:val="0078304C"/>
    <w:rsid w:val="00783673"/>
    <w:rsid w:val="00785490"/>
    <w:rsid w:val="00787B8E"/>
    <w:rsid w:val="007925EA"/>
    <w:rsid w:val="00792EF3"/>
    <w:rsid w:val="00793CD8"/>
    <w:rsid w:val="00795C92"/>
    <w:rsid w:val="00796231"/>
    <w:rsid w:val="007A1CB3"/>
    <w:rsid w:val="007A306F"/>
    <w:rsid w:val="007A37F5"/>
    <w:rsid w:val="007A43A6"/>
    <w:rsid w:val="007A44AB"/>
    <w:rsid w:val="007A44B8"/>
    <w:rsid w:val="007A58A6"/>
    <w:rsid w:val="007A647D"/>
    <w:rsid w:val="007B0638"/>
    <w:rsid w:val="007B0AA8"/>
    <w:rsid w:val="007B3D2D"/>
    <w:rsid w:val="007B50AE"/>
    <w:rsid w:val="007B51DF"/>
    <w:rsid w:val="007B56B7"/>
    <w:rsid w:val="007C05DD"/>
    <w:rsid w:val="007C3D18"/>
    <w:rsid w:val="007C60BF"/>
    <w:rsid w:val="007C6A07"/>
    <w:rsid w:val="007C75A1"/>
    <w:rsid w:val="007C77A5"/>
    <w:rsid w:val="007D04E5"/>
    <w:rsid w:val="007D2508"/>
    <w:rsid w:val="007D3C23"/>
    <w:rsid w:val="007D5901"/>
    <w:rsid w:val="007D7526"/>
    <w:rsid w:val="007D7FAD"/>
    <w:rsid w:val="007E4610"/>
    <w:rsid w:val="007E4715"/>
    <w:rsid w:val="007E505B"/>
    <w:rsid w:val="007E7091"/>
    <w:rsid w:val="007F09B1"/>
    <w:rsid w:val="007F2D36"/>
    <w:rsid w:val="00803FAE"/>
    <w:rsid w:val="0080605F"/>
    <w:rsid w:val="00807216"/>
    <w:rsid w:val="00807786"/>
    <w:rsid w:val="00811FCB"/>
    <w:rsid w:val="008158D6"/>
    <w:rsid w:val="00817196"/>
    <w:rsid w:val="00817359"/>
    <w:rsid w:val="00817EDE"/>
    <w:rsid w:val="008235DB"/>
    <w:rsid w:val="00823777"/>
    <w:rsid w:val="00824AB4"/>
    <w:rsid w:val="00825C42"/>
    <w:rsid w:val="00825D25"/>
    <w:rsid w:val="00827D6F"/>
    <w:rsid w:val="008376AC"/>
    <w:rsid w:val="008444E8"/>
    <w:rsid w:val="00844E80"/>
    <w:rsid w:val="00846FE7"/>
    <w:rsid w:val="00847423"/>
    <w:rsid w:val="00850CEC"/>
    <w:rsid w:val="0085457E"/>
    <w:rsid w:val="00856911"/>
    <w:rsid w:val="008666DF"/>
    <w:rsid w:val="008677FD"/>
    <w:rsid w:val="008706D4"/>
    <w:rsid w:val="00870F8A"/>
    <w:rsid w:val="008719A4"/>
    <w:rsid w:val="00871D23"/>
    <w:rsid w:val="008732D9"/>
    <w:rsid w:val="008732E1"/>
    <w:rsid w:val="00874092"/>
    <w:rsid w:val="00874312"/>
    <w:rsid w:val="0087437C"/>
    <w:rsid w:val="00875CD7"/>
    <w:rsid w:val="00876B4D"/>
    <w:rsid w:val="00877F18"/>
    <w:rsid w:val="00885F41"/>
    <w:rsid w:val="0088665F"/>
    <w:rsid w:val="00886D2A"/>
    <w:rsid w:val="00890EEC"/>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26F1"/>
    <w:rsid w:val="008C3E4D"/>
    <w:rsid w:val="008C4958"/>
    <w:rsid w:val="008C4BAA"/>
    <w:rsid w:val="008C6AE8"/>
    <w:rsid w:val="008C7573"/>
    <w:rsid w:val="008D34F1"/>
    <w:rsid w:val="008D39D8"/>
    <w:rsid w:val="008D5AE8"/>
    <w:rsid w:val="008D6D1A"/>
    <w:rsid w:val="008E065E"/>
    <w:rsid w:val="008E0927"/>
    <w:rsid w:val="008E1909"/>
    <w:rsid w:val="008F1EAB"/>
    <w:rsid w:val="008F31E6"/>
    <w:rsid w:val="008F33DC"/>
    <w:rsid w:val="008F477F"/>
    <w:rsid w:val="008F7CCF"/>
    <w:rsid w:val="00902350"/>
    <w:rsid w:val="0090336B"/>
    <w:rsid w:val="009053AA"/>
    <w:rsid w:val="00905C42"/>
    <w:rsid w:val="00905FDD"/>
    <w:rsid w:val="00906939"/>
    <w:rsid w:val="00910B7D"/>
    <w:rsid w:val="009117A9"/>
    <w:rsid w:val="00911DFB"/>
    <w:rsid w:val="00912426"/>
    <w:rsid w:val="00912672"/>
    <w:rsid w:val="009139D9"/>
    <w:rsid w:val="00914AD8"/>
    <w:rsid w:val="00916079"/>
    <w:rsid w:val="00917CE9"/>
    <w:rsid w:val="00920BF2"/>
    <w:rsid w:val="00922010"/>
    <w:rsid w:val="00930D98"/>
    <w:rsid w:val="00931BD9"/>
    <w:rsid w:val="009362F7"/>
    <w:rsid w:val="009368F3"/>
    <w:rsid w:val="00941636"/>
    <w:rsid w:val="00941645"/>
    <w:rsid w:val="00943742"/>
    <w:rsid w:val="00945C05"/>
    <w:rsid w:val="00946945"/>
    <w:rsid w:val="00947713"/>
    <w:rsid w:val="00947F13"/>
    <w:rsid w:val="00950DE7"/>
    <w:rsid w:val="00953920"/>
    <w:rsid w:val="00953D47"/>
    <w:rsid w:val="0095681E"/>
    <w:rsid w:val="009572D4"/>
    <w:rsid w:val="00961921"/>
    <w:rsid w:val="0096430A"/>
    <w:rsid w:val="0096554B"/>
    <w:rsid w:val="0096584A"/>
    <w:rsid w:val="00971F08"/>
    <w:rsid w:val="0097603D"/>
    <w:rsid w:val="00976949"/>
    <w:rsid w:val="00980477"/>
    <w:rsid w:val="00982A09"/>
    <w:rsid w:val="009830E7"/>
    <w:rsid w:val="00985253"/>
    <w:rsid w:val="009853B3"/>
    <w:rsid w:val="00990630"/>
    <w:rsid w:val="00991761"/>
    <w:rsid w:val="00994DCA"/>
    <w:rsid w:val="009960EC"/>
    <w:rsid w:val="009970DD"/>
    <w:rsid w:val="00997977"/>
    <w:rsid w:val="009A0A51"/>
    <w:rsid w:val="009A0FBA"/>
    <w:rsid w:val="009A1601"/>
    <w:rsid w:val="009A19C2"/>
    <w:rsid w:val="009A231B"/>
    <w:rsid w:val="009A23A5"/>
    <w:rsid w:val="009A2F86"/>
    <w:rsid w:val="009A4071"/>
    <w:rsid w:val="009A462D"/>
    <w:rsid w:val="009A5CBA"/>
    <w:rsid w:val="009B036E"/>
    <w:rsid w:val="009B1F30"/>
    <w:rsid w:val="009B2BDC"/>
    <w:rsid w:val="009B3AC2"/>
    <w:rsid w:val="009B4026"/>
    <w:rsid w:val="009B4DF4"/>
    <w:rsid w:val="009B564E"/>
    <w:rsid w:val="009B7E87"/>
    <w:rsid w:val="009C3A99"/>
    <w:rsid w:val="009C403E"/>
    <w:rsid w:val="009C6918"/>
    <w:rsid w:val="009D0BF6"/>
    <w:rsid w:val="009D4FF0"/>
    <w:rsid w:val="009D703C"/>
    <w:rsid w:val="009D718F"/>
    <w:rsid w:val="009D727E"/>
    <w:rsid w:val="009E068F"/>
    <w:rsid w:val="009E14E0"/>
    <w:rsid w:val="009E35DB"/>
    <w:rsid w:val="009E47A3"/>
    <w:rsid w:val="009E6006"/>
    <w:rsid w:val="009F08F3"/>
    <w:rsid w:val="009F1ECE"/>
    <w:rsid w:val="009F344F"/>
    <w:rsid w:val="00A048A8"/>
    <w:rsid w:val="00A04F49"/>
    <w:rsid w:val="00A06039"/>
    <w:rsid w:val="00A07855"/>
    <w:rsid w:val="00A13E54"/>
    <w:rsid w:val="00A17F63"/>
    <w:rsid w:val="00A2193B"/>
    <w:rsid w:val="00A2351A"/>
    <w:rsid w:val="00A24107"/>
    <w:rsid w:val="00A264A9"/>
    <w:rsid w:val="00A26F88"/>
    <w:rsid w:val="00A27785"/>
    <w:rsid w:val="00A30187"/>
    <w:rsid w:val="00A33AE9"/>
    <w:rsid w:val="00A3448A"/>
    <w:rsid w:val="00A36297"/>
    <w:rsid w:val="00A41E2B"/>
    <w:rsid w:val="00A4227C"/>
    <w:rsid w:val="00A45B74"/>
    <w:rsid w:val="00A461CF"/>
    <w:rsid w:val="00A50426"/>
    <w:rsid w:val="00A50F2F"/>
    <w:rsid w:val="00A52E1D"/>
    <w:rsid w:val="00A54721"/>
    <w:rsid w:val="00A61499"/>
    <w:rsid w:val="00A62A77"/>
    <w:rsid w:val="00A63483"/>
    <w:rsid w:val="00A657D7"/>
    <w:rsid w:val="00A660AC"/>
    <w:rsid w:val="00A669AA"/>
    <w:rsid w:val="00A67E6C"/>
    <w:rsid w:val="00A71B99"/>
    <w:rsid w:val="00A73915"/>
    <w:rsid w:val="00A739D0"/>
    <w:rsid w:val="00A761D4"/>
    <w:rsid w:val="00A77A7E"/>
    <w:rsid w:val="00A77EC4"/>
    <w:rsid w:val="00A8318A"/>
    <w:rsid w:val="00A91DD1"/>
    <w:rsid w:val="00A92879"/>
    <w:rsid w:val="00A929CA"/>
    <w:rsid w:val="00A9442A"/>
    <w:rsid w:val="00AA016F"/>
    <w:rsid w:val="00AA1CC5"/>
    <w:rsid w:val="00AA1ED6"/>
    <w:rsid w:val="00AA51D6"/>
    <w:rsid w:val="00AB0AE7"/>
    <w:rsid w:val="00AB0BC8"/>
    <w:rsid w:val="00AB11CA"/>
    <w:rsid w:val="00AB120D"/>
    <w:rsid w:val="00AB14D9"/>
    <w:rsid w:val="00AB4AB8"/>
    <w:rsid w:val="00AB655E"/>
    <w:rsid w:val="00AC007F"/>
    <w:rsid w:val="00AC038A"/>
    <w:rsid w:val="00AC159C"/>
    <w:rsid w:val="00AC2ECD"/>
    <w:rsid w:val="00AC3119"/>
    <w:rsid w:val="00AC49FB"/>
    <w:rsid w:val="00AC5A10"/>
    <w:rsid w:val="00AD0AA3"/>
    <w:rsid w:val="00AD1BAE"/>
    <w:rsid w:val="00AD2BA9"/>
    <w:rsid w:val="00AD3F94"/>
    <w:rsid w:val="00AD4A5A"/>
    <w:rsid w:val="00AE27AC"/>
    <w:rsid w:val="00AE40E0"/>
    <w:rsid w:val="00AE4D79"/>
    <w:rsid w:val="00AE4DBA"/>
    <w:rsid w:val="00AE4F07"/>
    <w:rsid w:val="00AF1C5D"/>
    <w:rsid w:val="00AF20DE"/>
    <w:rsid w:val="00AF42D7"/>
    <w:rsid w:val="00B00123"/>
    <w:rsid w:val="00B00417"/>
    <w:rsid w:val="00B006FE"/>
    <w:rsid w:val="00B007CB"/>
    <w:rsid w:val="00B02AA9"/>
    <w:rsid w:val="00B02FA3"/>
    <w:rsid w:val="00B05084"/>
    <w:rsid w:val="00B11DF8"/>
    <w:rsid w:val="00B157F9"/>
    <w:rsid w:val="00B167F1"/>
    <w:rsid w:val="00B1772D"/>
    <w:rsid w:val="00B20256"/>
    <w:rsid w:val="00B20D09"/>
    <w:rsid w:val="00B25A92"/>
    <w:rsid w:val="00B270E6"/>
    <w:rsid w:val="00B2763F"/>
    <w:rsid w:val="00B27AAC"/>
    <w:rsid w:val="00B30929"/>
    <w:rsid w:val="00B3104E"/>
    <w:rsid w:val="00B372AA"/>
    <w:rsid w:val="00B40445"/>
    <w:rsid w:val="00B41888"/>
    <w:rsid w:val="00B42BDB"/>
    <w:rsid w:val="00B43030"/>
    <w:rsid w:val="00B45A52"/>
    <w:rsid w:val="00B46175"/>
    <w:rsid w:val="00B5105F"/>
    <w:rsid w:val="00B5443B"/>
    <w:rsid w:val="00B56AFB"/>
    <w:rsid w:val="00B628B0"/>
    <w:rsid w:val="00B62AAA"/>
    <w:rsid w:val="00B63CAC"/>
    <w:rsid w:val="00B64871"/>
    <w:rsid w:val="00B664C7"/>
    <w:rsid w:val="00B67CAC"/>
    <w:rsid w:val="00B67E70"/>
    <w:rsid w:val="00B72D4F"/>
    <w:rsid w:val="00B739F6"/>
    <w:rsid w:val="00B81A6C"/>
    <w:rsid w:val="00B85DE5"/>
    <w:rsid w:val="00B87D41"/>
    <w:rsid w:val="00B904EC"/>
    <w:rsid w:val="00B90F73"/>
    <w:rsid w:val="00B91B34"/>
    <w:rsid w:val="00B93111"/>
    <w:rsid w:val="00B93B59"/>
    <w:rsid w:val="00B9406A"/>
    <w:rsid w:val="00B96560"/>
    <w:rsid w:val="00B96C52"/>
    <w:rsid w:val="00B96CB3"/>
    <w:rsid w:val="00BA2280"/>
    <w:rsid w:val="00BA2A08"/>
    <w:rsid w:val="00BA4212"/>
    <w:rsid w:val="00BA56D2"/>
    <w:rsid w:val="00BA73CA"/>
    <w:rsid w:val="00BA76E0"/>
    <w:rsid w:val="00BB2A25"/>
    <w:rsid w:val="00BB40A4"/>
    <w:rsid w:val="00BB51E9"/>
    <w:rsid w:val="00BB66B8"/>
    <w:rsid w:val="00BB6BBA"/>
    <w:rsid w:val="00BC0FDC"/>
    <w:rsid w:val="00BC3053"/>
    <w:rsid w:val="00BC4D2E"/>
    <w:rsid w:val="00BC75AE"/>
    <w:rsid w:val="00BD48AC"/>
    <w:rsid w:val="00BD5F1A"/>
    <w:rsid w:val="00BE1234"/>
    <w:rsid w:val="00BE2FA6"/>
    <w:rsid w:val="00BE333F"/>
    <w:rsid w:val="00BE4AD5"/>
    <w:rsid w:val="00BE7406"/>
    <w:rsid w:val="00BE7603"/>
    <w:rsid w:val="00BF130A"/>
    <w:rsid w:val="00BF3279"/>
    <w:rsid w:val="00BF5C4B"/>
    <w:rsid w:val="00BF624C"/>
    <w:rsid w:val="00BF74C7"/>
    <w:rsid w:val="00C015F1"/>
    <w:rsid w:val="00C01F33"/>
    <w:rsid w:val="00C02147"/>
    <w:rsid w:val="00C02CC6"/>
    <w:rsid w:val="00C040F7"/>
    <w:rsid w:val="00C041B0"/>
    <w:rsid w:val="00C044AB"/>
    <w:rsid w:val="00C05706"/>
    <w:rsid w:val="00C07377"/>
    <w:rsid w:val="00C10478"/>
    <w:rsid w:val="00C12107"/>
    <w:rsid w:val="00C14D4B"/>
    <w:rsid w:val="00C154BB"/>
    <w:rsid w:val="00C23F57"/>
    <w:rsid w:val="00C26BDE"/>
    <w:rsid w:val="00C26FAA"/>
    <w:rsid w:val="00C279B5"/>
    <w:rsid w:val="00C27C45"/>
    <w:rsid w:val="00C3164A"/>
    <w:rsid w:val="00C3719D"/>
    <w:rsid w:val="00C41F77"/>
    <w:rsid w:val="00C53423"/>
    <w:rsid w:val="00C54995"/>
    <w:rsid w:val="00C54D41"/>
    <w:rsid w:val="00C60783"/>
    <w:rsid w:val="00C61A6D"/>
    <w:rsid w:val="00C620FF"/>
    <w:rsid w:val="00C64672"/>
    <w:rsid w:val="00C64FA8"/>
    <w:rsid w:val="00C6699E"/>
    <w:rsid w:val="00C701FA"/>
    <w:rsid w:val="00C70697"/>
    <w:rsid w:val="00C71BFC"/>
    <w:rsid w:val="00C72EF4"/>
    <w:rsid w:val="00C73779"/>
    <w:rsid w:val="00C759A5"/>
    <w:rsid w:val="00C75D2F"/>
    <w:rsid w:val="00C767BE"/>
    <w:rsid w:val="00C76963"/>
    <w:rsid w:val="00C76E3C"/>
    <w:rsid w:val="00C77971"/>
    <w:rsid w:val="00C81568"/>
    <w:rsid w:val="00C86087"/>
    <w:rsid w:val="00C9027A"/>
    <w:rsid w:val="00C9068E"/>
    <w:rsid w:val="00C92EDB"/>
    <w:rsid w:val="00C93C4B"/>
    <w:rsid w:val="00C944AB"/>
    <w:rsid w:val="00C95B40"/>
    <w:rsid w:val="00CA1ED8"/>
    <w:rsid w:val="00CB1F63"/>
    <w:rsid w:val="00CB7170"/>
    <w:rsid w:val="00CB7825"/>
    <w:rsid w:val="00CC040E"/>
    <w:rsid w:val="00CC111F"/>
    <w:rsid w:val="00CC2011"/>
    <w:rsid w:val="00CC3EA0"/>
    <w:rsid w:val="00CC5BCD"/>
    <w:rsid w:val="00CC7B45"/>
    <w:rsid w:val="00CD1188"/>
    <w:rsid w:val="00CD2ED1"/>
    <w:rsid w:val="00CD337B"/>
    <w:rsid w:val="00CE0424"/>
    <w:rsid w:val="00CE7561"/>
    <w:rsid w:val="00CF11FA"/>
    <w:rsid w:val="00CF1354"/>
    <w:rsid w:val="00CF3B1F"/>
    <w:rsid w:val="00CF3BF6"/>
    <w:rsid w:val="00CF40CE"/>
    <w:rsid w:val="00CF47BB"/>
    <w:rsid w:val="00CF4CBB"/>
    <w:rsid w:val="00CF625B"/>
    <w:rsid w:val="00CF687E"/>
    <w:rsid w:val="00D0349B"/>
    <w:rsid w:val="00D04434"/>
    <w:rsid w:val="00D10249"/>
    <w:rsid w:val="00D115C3"/>
    <w:rsid w:val="00D11897"/>
    <w:rsid w:val="00D118A0"/>
    <w:rsid w:val="00D13135"/>
    <w:rsid w:val="00D13E4E"/>
    <w:rsid w:val="00D239A7"/>
    <w:rsid w:val="00D23F47"/>
    <w:rsid w:val="00D2743C"/>
    <w:rsid w:val="00D3005B"/>
    <w:rsid w:val="00D326D3"/>
    <w:rsid w:val="00D353F9"/>
    <w:rsid w:val="00D36E71"/>
    <w:rsid w:val="00D37371"/>
    <w:rsid w:val="00D37D87"/>
    <w:rsid w:val="00D40B33"/>
    <w:rsid w:val="00D42D26"/>
    <w:rsid w:val="00D4318F"/>
    <w:rsid w:val="00D438BF"/>
    <w:rsid w:val="00D440F8"/>
    <w:rsid w:val="00D4520B"/>
    <w:rsid w:val="00D45490"/>
    <w:rsid w:val="00D46379"/>
    <w:rsid w:val="00D4762C"/>
    <w:rsid w:val="00D501E3"/>
    <w:rsid w:val="00D53AF8"/>
    <w:rsid w:val="00D53E54"/>
    <w:rsid w:val="00D546FF"/>
    <w:rsid w:val="00D55AD5"/>
    <w:rsid w:val="00D576CA"/>
    <w:rsid w:val="00D60E13"/>
    <w:rsid w:val="00D61AF5"/>
    <w:rsid w:val="00D62CD5"/>
    <w:rsid w:val="00D6435F"/>
    <w:rsid w:val="00D652B5"/>
    <w:rsid w:val="00D65A4C"/>
    <w:rsid w:val="00D66155"/>
    <w:rsid w:val="00D66880"/>
    <w:rsid w:val="00D676B0"/>
    <w:rsid w:val="00D679B2"/>
    <w:rsid w:val="00D708B0"/>
    <w:rsid w:val="00D70E73"/>
    <w:rsid w:val="00D72831"/>
    <w:rsid w:val="00D7454C"/>
    <w:rsid w:val="00D749C9"/>
    <w:rsid w:val="00D76B4D"/>
    <w:rsid w:val="00D77B1D"/>
    <w:rsid w:val="00D8021F"/>
    <w:rsid w:val="00D80383"/>
    <w:rsid w:val="00D8234B"/>
    <w:rsid w:val="00D823C6"/>
    <w:rsid w:val="00D86B11"/>
    <w:rsid w:val="00D86CA3"/>
    <w:rsid w:val="00D871CE"/>
    <w:rsid w:val="00D9196D"/>
    <w:rsid w:val="00D92982"/>
    <w:rsid w:val="00D96606"/>
    <w:rsid w:val="00D97C0F"/>
    <w:rsid w:val="00DA305E"/>
    <w:rsid w:val="00DA5007"/>
    <w:rsid w:val="00DA5417"/>
    <w:rsid w:val="00DA56E8"/>
    <w:rsid w:val="00DB0A9F"/>
    <w:rsid w:val="00DB377D"/>
    <w:rsid w:val="00DC2D36"/>
    <w:rsid w:val="00DC3807"/>
    <w:rsid w:val="00DC53EF"/>
    <w:rsid w:val="00DD51BD"/>
    <w:rsid w:val="00DD6B05"/>
    <w:rsid w:val="00DE0BCA"/>
    <w:rsid w:val="00DE14AC"/>
    <w:rsid w:val="00DE5608"/>
    <w:rsid w:val="00DE58D0"/>
    <w:rsid w:val="00DE60D1"/>
    <w:rsid w:val="00DE654F"/>
    <w:rsid w:val="00DF0B6E"/>
    <w:rsid w:val="00DF15E0"/>
    <w:rsid w:val="00DF37A0"/>
    <w:rsid w:val="00DF5C56"/>
    <w:rsid w:val="00E058E2"/>
    <w:rsid w:val="00E06F23"/>
    <w:rsid w:val="00E10DE7"/>
    <w:rsid w:val="00E110E7"/>
    <w:rsid w:val="00E11B20"/>
    <w:rsid w:val="00E134E7"/>
    <w:rsid w:val="00E17FA2"/>
    <w:rsid w:val="00E215A5"/>
    <w:rsid w:val="00E22330"/>
    <w:rsid w:val="00E22C8E"/>
    <w:rsid w:val="00E23A2A"/>
    <w:rsid w:val="00E23D35"/>
    <w:rsid w:val="00E25670"/>
    <w:rsid w:val="00E30B5A"/>
    <w:rsid w:val="00E3123D"/>
    <w:rsid w:val="00E31461"/>
    <w:rsid w:val="00E31D43"/>
    <w:rsid w:val="00E32608"/>
    <w:rsid w:val="00E34188"/>
    <w:rsid w:val="00E345CD"/>
    <w:rsid w:val="00E34B6E"/>
    <w:rsid w:val="00E35559"/>
    <w:rsid w:val="00E3723A"/>
    <w:rsid w:val="00E37860"/>
    <w:rsid w:val="00E446F1"/>
    <w:rsid w:val="00E46558"/>
    <w:rsid w:val="00E46886"/>
    <w:rsid w:val="00E47AEF"/>
    <w:rsid w:val="00E51EF3"/>
    <w:rsid w:val="00E53B75"/>
    <w:rsid w:val="00E54E3B"/>
    <w:rsid w:val="00E57565"/>
    <w:rsid w:val="00E63838"/>
    <w:rsid w:val="00E64434"/>
    <w:rsid w:val="00E67C51"/>
    <w:rsid w:val="00E72EFC"/>
    <w:rsid w:val="00E758EC"/>
    <w:rsid w:val="00E8234C"/>
    <w:rsid w:val="00E83AA9"/>
    <w:rsid w:val="00E84055"/>
    <w:rsid w:val="00E85928"/>
    <w:rsid w:val="00E87822"/>
    <w:rsid w:val="00E87CF0"/>
    <w:rsid w:val="00E90395"/>
    <w:rsid w:val="00E90B1C"/>
    <w:rsid w:val="00E90E49"/>
    <w:rsid w:val="00E917F9"/>
    <w:rsid w:val="00E9291C"/>
    <w:rsid w:val="00E92CB2"/>
    <w:rsid w:val="00E93FFE"/>
    <w:rsid w:val="00E94F8A"/>
    <w:rsid w:val="00E962F4"/>
    <w:rsid w:val="00EA24FD"/>
    <w:rsid w:val="00EA5F86"/>
    <w:rsid w:val="00EA7A41"/>
    <w:rsid w:val="00EB077B"/>
    <w:rsid w:val="00EB1001"/>
    <w:rsid w:val="00EB4EA2"/>
    <w:rsid w:val="00EB51C0"/>
    <w:rsid w:val="00EC236F"/>
    <w:rsid w:val="00EC27C6"/>
    <w:rsid w:val="00EC4207"/>
    <w:rsid w:val="00EC5653"/>
    <w:rsid w:val="00EC60B5"/>
    <w:rsid w:val="00EC71CE"/>
    <w:rsid w:val="00ED1006"/>
    <w:rsid w:val="00ED2B3B"/>
    <w:rsid w:val="00EE0015"/>
    <w:rsid w:val="00EF18FE"/>
    <w:rsid w:val="00EF1FB7"/>
    <w:rsid w:val="00EF5787"/>
    <w:rsid w:val="00EF60D0"/>
    <w:rsid w:val="00F02A93"/>
    <w:rsid w:val="00F0528D"/>
    <w:rsid w:val="00F06C67"/>
    <w:rsid w:val="00F06DFD"/>
    <w:rsid w:val="00F071D1"/>
    <w:rsid w:val="00F07533"/>
    <w:rsid w:val="00F10629"/>
    <w:rsid w:val="00F127BB"/>
    <w:rsid w:val="00F15FA5"/>
    <w:rsid w:val="00F17BE1"/>
    <w:rsid w:val="00F17DB6"/>
    <w:rsid w:val="00F209B7"/>
    <w:rsid w:val="00F216F1"/>
    <w:rsid w:val="00F21A76"/>
    <w:rsid w:val="00F2376F"/>
    <w:rsid w:val="00F23C17"/>
    <w:rsid w:val="00F243D8"/>
    <w:rsid w:val="00F30828"/>
    <w:rsid w:val="00F313D6"/>
    <w:rsid w:val="00F35D17"/>
    <w:rsid w:val="00F40F0C"/>
    <w:rsid w:val="00F42D63"/>
    <w:rsid w:val="00F434FA"/>
    <w:rsid w:val="00F4766C"/>
    <w:rsid w:val="00F507D1"/>
    <w:rsid w:val="00F519CE"/>
    <w:rsid w:val="00F51ADA"/>
    <w:rsid w:val="00F607C5"/>
    <w:rsid w:val="00F60DEA"/>
    <w:rsid w:val="00F6302A"/>
    <w:rsid w:val="00F631A4"/>
    <w:rsid w:val="00F64C2B"/>
    <w:rsid w:val="00F65154"/>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3776"/>
    <w:rsid w:val="00F8456C"/>
    <w:rsid w:val="00F859D8"/>
    <w:rsid w:val="00F868F5"/>
    <w:rsid w:val="00F9056A"/>
    <w:rsid w:val="00F90F8D"/>
    <w:rsid w:val="00F9200E"/>
    <w:rsid w:val="00F92782"/>
    <w:rsid w:val="00F93AA9"/>
    <w:rsid w:val="00F9668D"/>
    <w:rsid w:val="00F96985"/>
    <w:rsid w:val="00F97838"/>
    <w:rsid w:val="00FA2BB3"/>
    <w:rsid w:val="00FB4C80"/>
    <w:rsid w:val="00FB6A6A"/>
    <w:rsid w:val="00FC16E5"/>
    <w:rsid w:val="00FC20C9"/>
    <w:rsid w:val="00FC4AD0"/>
    <w:rsid w:val="00FC7429"/>
    <w:rsid w:val="00FD07F6"/>
    <w:rsid w:val="00FD1EC8"/>
    <w:rsid w:val="00FD3FB3"/>
    <w:rsid w:val="00FD46EF"/>
    <w:rsid w:val="00FD47ED"/>
    <w:rsid w:val="00FD74DB"/>
    <w:rsid w:val="00FD7660"/>
    <w:rsid w:val="00FE0655"/>
    <w:rsid w:val="00FE2365"/>
    <w:rsid w:val="00FE28F6"/>
    <w:rsid w:val="00FE4C7B"/>
    <w:rsid w:val="00FE7336"/>
    <w:rsid w:val="00FE7551"/>
    <w:rsid w:val="00FE787C"/>
    <w:rsid w:val="00FF241F"/>
    <w:rsid w:val="00FF45A5"/>
    <w:rsid w:val="00FF4D25"/>
    <w:rsid w:val="00FF5C91"/>
    <w:rsid w:val="00FF7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4CF030B4-A122-4F5C-981A-1E1DA34B7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 w:type="character" w:styleId="Mention">
    <w:name w:val="Mention"/>
    <w:basedOn w:val="DefaultParagraphFont"/>
    <w:uiPriority w:val="99"/>
    <w:semiHidden/>
    <w:unhideWhenUsed/>
    <w:rsid w:val="0071260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sa/WG2_Arch/TSGS2_122_Cabo/Docs/S2-17501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5NUHHDQN7SK2-1-178376</_dlc_DocId>
    <TaxCatchAll xmlns="08b2df90-05d3-4030-90d4-c9feeb4a1cd9">
      <Value>10</Value>
      <Value>9</Value>
      <Value>8</Value>
      <Value>3</Value>
      <Value>1</Value>
    </TaxCatchAll>
    <_dlc_DocIdUrl xmlns="08b2df90-05d3-4030-90d4-c9feeb4a1cd9">
      <Url>https://ericoll.internal.ericsson.com/sites/star/_layouts/DocIdRedir.aspx?ID=5NUHHDQN7SK2-1-178376</Url>
      <Description>5NUHHDQN7SK2-1-178376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file>

<file path=customXml/itemProps2.xml><?xml version="1.0" encoding="utf-8"?>
<ds:datastoreItem xmlns:ds="http://schemas.openxmlformats.org/officeDocument/2006/customXml" ds:itemID="{460107DC-5761-40F6-8E1B-3112A03859E6}"/>
</file>

<file path=customXml/itemProps3.xml><?xml version="1.0" encoding="utf-8"?>
<ds:datastoreItem xmlns:ds="http://schemas.openxmlformats.org/officeDocument/2006/customXml" ds:itemID="{E986A3D9-AB86-4A14-BDC5-4D236E36E092}"/>
</file>

<file path=customXml/itemProps4.xml><?xml version="1.0" encoding="utf-8"?>
<ds:datastoreItem xmlns:ds="http://schemas.openxmlformats.org/officeDocument/2006/customXml" ds:itemID="{C2888BB6-352D-4DBC-A5DF-BE21401724A6}"/>
</file>

<file path=customXml/itemProps5.xml><?xml version="1.0" encoding="utf-8"?>
<ds:datastoreItem xmlns:ds="http://schemas.openxmlformats.org/officeDocument/2006/customXml" ds:itemID="{24D26575-DE40-4597-BF80-617C2ED6EA81}"/>
</file>

<file path=customXml/itemProps6.xml><?xml version="1.0" encoding="utf-8"?>
<ds:datastoreItem xmlns:ds="http://schemas.openxmlformats.org/officeDocument/2006/customXml" ds:itemID="{50A5247E-B059-4A4E-AC44-25671F825A19}"/>
</file>

<file path=docProps/app.xml><?xml version="1.0" encoding="utf-8"?>
<Properties xmlns="http://schemas.openxmlformats.org/officeDocument/2006/extended-properties" xmlns:vt="http://schemas.openxmlformats.org/officeDocument/2006/docPropsVTypes">
  <Template>R2-16xxxx - Contribution Template.dot</Template>
  <TotalTime>424</TotalTime>
  <Pages>3</Pages>
  <Words>1265</Words>
  <Characters>6705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Oscar Ohlsson</cp:lastModifiedBy>
  <cp:revision>37</cp:revision>
  <cp:lastPrinted>2008-01-31T06:09:00Z</cp:lastPrinted>
  <dcterms:created xsi:type="dcterms:W3CDTF">2017-05-01T11:16:00Z</dcterms:created>
  <dcterms:modified xsi:type="dcterms:W3CDTF">2017-08-11T12:28:00Z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b19d289a-28a7-44b9-9256-d3f1c79cf1db</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